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44A1B" w14:textId="77777777" w:rsidR="00E4086F" w:rsidRPr="00D075D7" w:rsidRDefault="00623680" w:rsidP="007A2418">
      <w:pPr>
        <w:jc w:val="center"/>
        <w:rPr>
          <w:rFonts w:ascii="Lato Light" w:hAnsi="Lato Light"/>
          <w:b/>
          <w:sz w:val="28"/>
          <w:szCs w:val="28"/>
          <w:u w:val="single"/>
        </w:rPr>
      </w:pPr>
      <w:r w:rsidRPr="00D075D7">
        <w:rPr>
          <w:rFonts w:ascii="Lato Light" w:hAnsi="Lato Light"/>
          <w:b/>
          <w:sz w:val="28"/>
          <w:szCs w:val="28"/>
          <w:u w:val="single"/>
        </w:rPr>
        <w:t xml:space="preserve">INFORME DE INTERVENCIÓN </w:t>
      </w:r>
      <w:r w:rsidRPr="00D075D7">
        <w:rPr>
          <w:rFonts w:ascii="Lato Light" w:hAnsi="Lato Light"/>
          <w:b/>
          <w:sz w:val="28"/>
          <w:szCs w:val="28"/>
          <w:highlight w:val="lightGray"/>
          <w:u w:val="single"/>
        </w:rPr>
        <w:t>Nº x</w:t>
      </w:r>
      <w:r w:rsidRPr="00D075D7">
        <w:rPr>
          <w:rFonts w:ascii="Lato Light" w:hAnsi="Lato Light"/>
          <w:b/>
          <w:sz w:val="28"/>
          <w:szCs w:val="28"/>
          <w:u w:val="single"/>
        </w:rPr>
        <w:t xml:space="preserve"> SOBRE LA SO</w:t>
      </w:r>
      <w:r w:rsidR="00B3377C" w:rsidRPr="00D075D7">
        <w:rPr>
          <w:rFonts w:ascii="Lato Light" w:hAnsi="Lato Light"/>
          <w:b/>
          <w:sz w:val="28"/>
          <w:szCs w:val="28"/>
          <w:u w:val="single"/>
        </w:rPr>
        <w:t>S</w:t>
      </w:r>
      <w:r w:rsidRPr="00D075D7">
        <w:rPr>
          <w:rFonts w:ascii="Lato Light" w:hAnsi="Lato Light"/>
          <w:b/>
          <w:sz w:val="28"/>
          <w:szCs w:val="28"/>
          <w:u w:val="single"/>
        </w:rPr>
        <w:t>TENIBILIDAD FINANCIERA</w:t>
      </w:r>
      <w:r w:rsidR="009448CC" w:rsidRPr="00D075D7">
        <w:rPr>
          <w:rFonts w:ascii="Lato Light" w:hAnsi="Lato Light"/>
          <w:b/>
          <w:sz w:val="28"/>
          <w:szCs w:val="28"/>
          <w:u w:val="single"/>
        </w:rPr>
        <w:t xml:space="preserve"> DE LA MODIFICACION DE CRÉDITO </w:t>
      </w:r>
      <w:r w:rsidR="009448CC" w:rsidRPr="00D075D7">
        <w:rPr>
          <w:rFonts w:ascii="Lato Light" w:hAnsi="Lato Light"/>
          <w:b/>
          <w:sz w:val="28"/>
          <w:szCs w:val="28"/>
          <w:highlight w:val="lightGray"/>
          <w:u w:val="single"/>
        </w:rPr>
        <w:t>XXX/XXX</w:t>
      </w:r>
    </w:p>
    <w:p w14:paraId="2B8BE95E" w14:textId="25B3734E" w:rsidR="00AD0143" w:rsidRPr="00D075D7" w:rsidRDefault="00AD0143" w:rsidP="00AD0143">
      <w:pPr>
        <w:spacing w:before="480"/>
        <w:jc w:val="both"/>
        <w:rPr>
          <w:rFonts w:ascii="Lato Light" w:hAnsi="Lato Light"/>
        </w:rPr>
      </w:pPr>
      <w:r w:rsidRPr="00D075D7">
        <w:rPr>
          <w:rFonts w:ascii="Lato Light" w:hAnsi="Lato Light"/>
        </w:rPr>
        <w:t>ASUNTO: Informe de sostenibilidad financiera en relación con la utilización, durante el correspondiente periodo 202</w:t>
      </w:r>
      <w:r w:rsidR="00E62DC4" w:rsidRPr="00D075D7">
        <w:rPr>
          <w:rFonts w:ascii="Lato Light" w:hAnsi="Lato Light"/>
        </w:rPr>
        <w:t>X</w:t>
      </w:r>
      <w:r w:rsidRPr="00D075D7">
        <w:rPr>
          <w:rFonts w:ascii="Lato Light" w:hAnsi="Lato Light"/>
        </w:rPr>
        <w:t xml:space="preserve"> (</w:t>
      </w:r>
      <w:r w:rsidRPr="00D075D7">
        <w:rPr>
          <w:rFonts w:ascii="Lato Light" w:hAnsi="Lato Light"/>
          <w:highlight w:val="lightGray"/>
        </w:rPr>
        <w:t>primer trimestre, segundo trimestre, ejercicio completo…</w:t>
      </w:r>
      <w:r w:rsidRPr="00D075D7">
        <w:rPr>
          <w:rFonts w:ascii="Lato Light" w:hAnsi="Lato Light"/>
        </w:rPr>
        <w:t>), del remanente de tesorería para gastos generales obtenido en la liquidación del Presupuesto Municipal 20</w:t>
      </w:r>
      <w:r w:rsidR="00730E0D" w:rsidRPr="00D075D7">
        <w:rPr>
          <w:rFonts w:ascii="Lato Light" w:hAnsi="Lato Light"/>
        </w:rPr>
        <w:t>2</w:t>
      </w:r>
      <w:r w:rsidR="00E62DC4" w:rsidRPr="00D075D7">
        <w:rPr>
          <w:rFonts w:ascii="Lato Light" w:hAnsi="Lato Light"/>
        </w:rPr>
        <w:t>X-1</w:t>
      </w:r>
      <w:r w:rsidRPr="00D075D7">
        <w:rPr>
          <w:rFonts w:ascii="Lato Light" w:hAnsi="Lato Light"/>
        </w:rPr>
        <w:t xml:space="preserve"> para financia</w:t>
      </w:r>
      <w:r w:rsidR="000F041A" w:rsidRPr="00D075D7">
        <w:rPr>
          <w:rFonts w:ascii="Lato Light" w:hAnsi="Lato Light"/>
        </w:rPr>
        <w:t>r</w:t>
      </w:r>
      <w:r w:rsidRPr="00D075D7">
        <w:rPr>
          <w:rFonts w:ascii="Lato Light" w:hAnsi="Lato Light"/>
        </w:rPr>
        <w:t xml:space="preserve"> modificaciones presupuestarias.</w:t>
      </w:r>
    </w:p>
    <w:p w14:paraId="318482DB" w14:textId="77777777" w:rsidR="00AD0143" w:rsidRPr="00D075D7" w:rsidRDefault="00AD0143" w:rsidP="00AD0143">
      <w:pPr>
        <w:spacing w:before="480"/>
        <w:jc w:val="both"/>
        <w:rPr>
          <w:rFonts w:ascii="Lato Light" w:hAnsi="Lato Light"/>
        </w:rPr>
      </w:pPr>
      <w:r w:rsidRPr="00D075D7">
        <w:rPr>
          <w:rFonts w:ascii="Lato Light" w:hAnsi="Lato Light"/>
        </w:rPr>
        <w:t>El presente informe se emite en cumplimiento de lo dispuesto en el artículo 6 apartado 5 de la NORMA FORAL 5/2013, de 12 de junio, de estabilidad presupuestaria y sostenibilidad financiera de las Entidades Locales de Bizkaia y en relación con los expedientes de modificación presupuestaria financiados con remanente de tesorería para gastos generales, recientemente tramitados, de los cuales se da cuenta al Pleno en la misma sesión que se eleva el presente informe.</w:t>
      </w:r>
    </w:p>
    <w:p w14:paraId="439CDEE1" w14:textId="77777777" w:rsidR="00282205" w:rsidRPr="00D075D7" w:rsidRDefault="00282205" w:rsidP="00AD0143">
      <w:pPr>
        <w:spacing w:before="480"/>
        <w:jc w:val="both"/>
        <w:rPr>
          <w:rFonts w:ascii="Lato Light" w:hAnsi="Lato Light"/>
        </w:rPr>
      </w:pPr>
      <w:r w:rsidRPr="00D075D7">
        <w:rPr>
          <w:rFonts w:ascii="Lato Light" w:hAnsi="Lato Light"/>
        </w:rPr>
        <w:t xml:space="preserve">La </w:t>
      </w:r>
      <w:r w:rsidR="00E0158A" w:rsidRPr="00D075D7">
        <w:rPr>
          <w:rFonts w:ascii="Lato Light" w:hAnsi="Lato Light"/>
        </w:rPr>
        <w:t>Norma Foral 5</w:t>
      </w:r>
      <w:r w:rsidRPr="00D075D7">
        <w:rPr>
          <w:rFonts w:ascii="Lato Light" w:hAnsi="Lato Light"/>
        </w:rPr>
        <w:t>/201</w:t>
      </w:r>
      <w:r w:rsidR="001F3415" w:rsidRPr="00D075D7">
        <w:rPr>
          <w:rFonts w:ascii="Lato Light" w:hAnsi="Lato Light"/>
        </w:rPr>
        <w:t xml:space="preserve">3, </w:t>
      </w:r>
      <w:r w:rsidRPr="00D075D7">
        <w:rPr>
          <w:rFonts w:ascii="Lato Light" w:hAnsi="Lato Light"/>
        </w:rPr>
        <w:t xml:space="preserve">de </w:t>
      </w:r>
      <w:r w:rsidR="00E0158A" w:rsidRPr="00D075D7">
        <w:rPr>
          <w:rFonts w:ascii="Lato Light" w:hAnsi="Lato Light"/>
        </w:rPr>
        <w:t>12</w:t>
      </w:r>
      <w:r w:rsidRPr="00D075D7">
        <w:rPr>
          <w:rFonts w:ascii="Lato Light" w:hAnsi="Lato Light"/>
        </w:rPr>
        <w:t xml:space="preserve"> de </w:t>
      </w:r>
      <w:r w:rsidR="00E0158A" w:rsidRPr="00D075D7">
        <w:rPr>
          <w:rFonts w:ascii="Lato Light" w:hAnsi="Lato Light"/>
        </w:rPr>
        <w:t>junio</w:t>
      </w:r>
      <w:r w:rsidR="001F3415" w:rsidRPr="00D075D7">
        <w:rPr>
          <w:rFonts w:ascii="Lato Light" w:hAnsi="Lato Light"/>
        </w:rPr>
        <w:t>,</w:t>
      </w:r>
      <w:r w:rsidR="00E0158A" w:rsidRPr="00D075D7">
        <w:rPr>
          <w:rFonts w:ascii="Lato Light" w:hAnsi="Lato Light"/>
        </w:rPr>
        <w:t xml:space="preserve"> de estabilidad presupuestaria y sostenibilidad financiera de las entidades locales de Bizkaia, en su artículo 4,</w:t>
      </w:r>
      <w:r w:rsidRPr="00D075D7">
        <w:rPr>
          <w:rFonts w:ascii="Lato Light" w:hAnsi="Lato Light"/>
        </w:rPr>
        <w:t xml:space="preserve"> defin</w:t>
      </w:r>
      <w:r w:rsidR="00E0158A" w:rsidRPr="00D075D7">
        <w:rPr>
          <w:rFonts w:ascii="Lato Light" w:hAnsi="Lato Light"/>
        </w:rPr>
        <w:t>e</w:t>
      </w:r>
      <w:r w:rsidRPr="00D075D7">
        <w:rPr>
          <w:rFonts w:ascii="Lato Light" w:hAnsi="Lato Light"/>
        </w:rPr>
        <w:t xml:space="preserve"> la sostenibilidad financiera como la capacidad para financiar compromisos de gasto presentes y futuros dentro de los límites de déficit, deuda pública y morosidad de deuda comercial conforme a lo establecido </w:t>
      </w:r>
      <w:r w:rsidR="00E0158A" w:rsidRPr="00D075D7">
        <w:rPr>
          <w:rFonts w:ascii="Lato Light" w:hAnsi="Lato Light"/>
        </w:rPr>
        <w:t>en</w:t>
      </w:r>
      <w:r w:rsidR="001F3415" w:rsidRPr="00D075D7">
        <w:rPr>
          <w:rFonts w:ascii="Lato Light" w:hAnsi="Lato Light"/>
        </w:rPr>
        <w:t xml:space="preserve"> la normativa </w:t>
      </w:r>
      <w:r w:rsidR="00E0158A" w:rsidRPr="00D075D7">
        <w:rPr>
          <w:rFonts w:ascii="Lato Light" w:hAnsi="Lato Light"/>
        </w:rPr>
        <w:t>en vigor.</w:t>
      </w:r>
    </w:p>
    <w:p w14:paraId="741F36FA" w14:textId="77777777" w:rsidR="005F7922" w:rsidRPr="00D075D7" w:rsidRDefault="00AC44BA" w:rsidP="005F7922">
      <w:pPr>
        <w:spacing w:before="240"/>
        <w:jc w:val="both"/>
        <w:rPr>
          <w:rFonts w:ascii="Lato Light" w:hAnsi="Lato Light"/>
        </w:rPr>
      </w:pPr>
      <w:r w:rsidRPr="00D075D7">
        <w:rPr>
          <w:rFonts w:ascii="Lato Light" w:hAnsi="Lato Light"/>
        </w:rPr>
        <w:t xml:space="preserve">Por su parte, el artículo 6.5 </w:t>
      </w:r>
      <w:r w:rsidR="001F3415" w:rsidRPr="00D075D7">
        <w:rPr>
          <w:rFonts w:ascii="Lato Light" w:hAnsi="Lato Light"/>
        </w:rPr>
        <w:t xml:space="preserve">de la </w:t>
      </w:r>
      <w:r w:rsidR="00E0158A" w:rsidRPr="00D075D7">
        <w:rPr>
          <w:rFonts w:ascii="Lato Light" w:hAnsi="Lato Light"/>
        </w:rPr>
        <w:t xml:space="preserve">citada </w:t>
      </w:r>
      <w:r w:rsidR="001F3415" w:rsidRPr="00D075D7">
        <w:rPr>
          <w:rFonts w:ascii="Lato Light" w:hAnsi="Lato Light"/>
        </w:rPr>
        <w:t xml:space="preserve">Norma Foral 5/2013, de 12 de junio, </w:t>
      </w:r>
      <w:r w:rsidRPr="00D075D7">
        <w:rPr>
          <w:rFonts w:ascii="Lato Light" w:hAnsi="Lato Light"/>
        </w:rPr>
        <w:t>establece que en caso de que un</w:t>
      </w:r>
      <w:r w:rsidR="00C71757" w:rsidRPr="00D075D7">
        <w:rPr>
          <w:rFonts w:ascii="Lato Light" w:hAnsi="Lato Light"/>
        </w:rPr>
        <w:t>a</w:t>
      </w:r>
      <w:r w:rsidRPr="00D075D7">
        <w:rPr>
          <w:rFonts w:ascii="Lato Light" w:hAnsi="Lato Light"/>
        </w:rPr>
        <w:t xml:space="preserve"> entidad cumpla con el objetivo de deuda</w:t>
      </w:r>
      <w:r w:rsidR="005F7922" w:rsidRPr="00D075D7">
        <w:rPr>
          <w:rFonts w:ascii="Lato Light" w:hAnsi="Lato Light"/>
        </w:rPr>
        <w:t xml:space="preserve">, pero incumpla el objetivo de estabilidad o regla de gasto por financiar </w:t>
      </w:r>
      <w:r w:rsidR="00C71757" w:rsidRPr="00D075D7">
        <w:rPr>
          <w:rFonts w:ascii="Lato Light" w:hAnsi="Lato Light"/>
        </w:rPr>
        <w:t xml:space="preserve">con remanente de tesorería </w:t>
      </w:r>
      <w:r w:rsidR="005F7922" w:rsidRPr="00D075D7">
        <w:rPr>
          <w:rFonts w:ascii="Lato Light" w:hAnsi="Lato Light"/>
        </w:rPr>
        <w:t>gastos</w:t>
      </w:r>
      <w:r w:rsidR="001F3415" w:rsidRPr="00D075D7">
        <w:rPr>
          <w:rFonts w:ascii="Lato Light" w:hAnsi="Lato Light"/>
        </w:rPr>
        <w:t xml:space="preserve"> </w:t>
      </w:r>
      <w:r w:rsidR="00C71757" w:rsidRPr="00D075D7">
        <w:rPr>
          <w:rFonts w:ascii="Lato Light" w:hAnsi="Lato Light"/>
        </w:rPr>
        <w:t>que no comprometa</w:t>
      </w:r>
      <w:r w:rsidR="005F7922" w:rsidRPr="00D075D7">
        <w:rPr>
          <w:rFonts w:ascii="Lato Light" w:hAnsi="Lato Light"/>
        </w:rPr>
        <w:t>n</w:t>
      </w:r>
      <w:r w:rsidR="00C71757" w:rsidRPr="00D075D7">
        <w:rPr>
          <w:rFonts w:ascii="Lato Light" w:hAnsi="Lato Light"/>
        </w:rPr>
        <w:t xml:space="preserve"> la sostenibilidad financiera de la respectiva entidad, </w:t>
      </w:r>
      <w:r w:rsidR="005F7922" w:rsidRPr="00D075D7">
        <w:rPr>
          <w:rFonts w:ascii="Lato Light" w:hAnsi="Lato Light"/>
        </w:rPr>
        <w:t xml:space="preserve">siempre que liquide el presupuesto con ahorro neto positivo y, sin perjuicio de lo establecido en el artículo 3, apartado 4, </w:t>
      </w:r>
      <w:r w:rsidR="00C71757" w:rsidRPr="00D075D7">
        <w:rPr>
          <w:rFonts w:ascii="Lato Light" w:hAnsi="Lato Light"/>
        </w:rPr>
        <w:t xml:space="preserve">se sustituirá el plan económico financiero por un informe del órgano que ejerza las funciones de intervención, que se elevará al Pleno para su conocimiento. </w:t>
      </w:r>
    </w:p>
    <w:p w14:paraId="6C8CFB78" w14:textId="77777777" w:rsidR="005F7922" w:rsidRPr="00D075D7" w:rsidRDefault="00C86704" w:rsidP="005F7922">
      <w:pPr>
        <w:spacing w:before="240"/>
        <w:jc w:val="both"/>
        <w:rPr>
          <w:rFonts w:ascii="Lato Light" w:hAnsi="Lato Light"/>
        </w:rPr>
      </w:pPr>
      <w:r w:rsidRPr="00D075D7">
        <w:rPr>
          <w:rFonts w:ascii="Lato Light" w:hAnsi="Lato Light"/>
        </w:rPr>
        <w:t xml:space="preserve">En el informe </w:t>
      </w:r>
      <w:r w:rsidR="005F7922" w:rsidRPr="00D075D7">
        <w:rPr>
          <w:rFonts w:ascii="Lato Light" w:hAnsi="Lato Light"/>
        </w:rPr>
        <w:t>del órgano que ejerza las funciones de intervención se deberá hacer constar:</w:t>
      </w:r>
    </w:p>
    <w:p w14:paraId="77982519" w14:textId="77777777" w:rsidR="005F7922" w:rsidRPr="00D075D7" w:rsidRDefault="005F7922" w:rsidP="005F7922">
      <w:pPr>
        <w:spacing w:before="240"/>
        <w:jc w:val="both"/>
        <w:rPr>
          <w:rFonts w:ascii="Lato Light" w:hAnsi="Lato Light"/>
        </w:rPr>
      </w:pPr>
      <w:r w:rsidRPr="00D075D7">
        <w:rPr>
          <w:rFonts w:ascii="Lato Light" w:hAnsi="Lato Light"/>
        </w:rPr>
        <w:t>a) Que los ga</w:t>
      </w:r>
      <w:r w:rsidR="00B3377C" w:rsidRPr="00D075D7">
        <w:rPr>
          <w:rFonts w:ascii="Lato Light" w:hAnsi="Lato Light"/>
        </w:rPr>
        <w:t>s</w:t>
      </w:r>
      <w:r w:rsidRPr="00D075D7">
        <w:rPr>
          <w:rFonts w:ascii="Lato Light" w:hAnsi="Lato Light"/>
        </w:rPr>
        <w:t xml:space="preserve">tos a financiar no comprometen la sostenibilidad financiera de la entidad. </w:t>
      </w:r>
    </w:p>
    <w:p w14:paraId="22D42FB0" w14:textId="77777777" w:rsidR="005F7922" w:rsidRPr="00D075D7" w:rsidRDefault="005F7922" w:rsidP="005F7922">
      <w:pPr>
        <w:spacing w:before="240"/>
        <w:jc w:val="both"/>
        <w:rPr>
          <w:rFonts w:ascii="Lato Light" w:hAnsi="Lato Light"/>
        </w:rPr>
      </w:pPr>
      <w:r w:rsidRPr="00D075D7">
        <w:rPr>
          <w:rFonts w:ascii="Lato Light" w:hAnsi="Lato Light"/>
        </w:rPr>
        <w:t xml:space="preserve">b) Que se ha liquidado el presupuesto del ejercicio anterior con remanente de tesorería para gastos generales y ahorro neto positivo. </w:t>
      </w:r>
    </w:p>
    <w:p w14:paraId="4136334D" w14:textId="77777777" w:rsidR="005F7922" w:rsidRPr="00D075D7" w:rsidRDefault="005F7922" w:rsidP="005F7922">
      <w:pPr>
        <w:spacing w:before="240"/>
        <w:jc w:val="both"/>
        <w:rPr>
          <w:rFonts w:ascii="Lato Light" w:hAnsi="Lato Light"/>
        </w:rPr>
      </w:pPr>
      <w:r w:rsidRPr="00D075D7">
        <w:rPr>
          <w:rFonts w:ascii="Lato Light" w:hAnsi="Lato Light"/>
        </w:rPr>
        <w:t xml:space="preserve">c) Que se cumple el objetivo de deuda fijado para cada año. </w:t>
      </w:r>
    </w:p>
    <w:p w14:paraId="575AEBEF" w14:textId="77777777" w:rsidR="005F7922" w:rsidRPr="00D075D7" w:rsidRDefault="005F7922" w:rsidP="005F7922">
      <w:pPr>
        <w:spacing w:before="240"/>
        <w:jc w:val="both"/>
        <w:rPr>
          <w:rFonts w:ascii="Lato Light" w:hAnsi="Lato Light"/>
        </w:rPr>
      </w:pPr>
      <w:r w:rsidRPr="00D075D7">
        <w:rPr>
          <w:rFonts w:ascii="Lato Light" w:hAnsi="Lato Light"/>
        </w:rPr>
        <w:t xml:space="preserve">d) Que se incumple el objetivo de estabilidad o la regla de gasto por financiar con remanente de tesorería gastos que no comprometan la sostenibilidad financiera de la respectiva entidad. </w:t>
      </w:r>
    </w:p>
    <w:p w14:paraId="561A1D4B" w14:textId="77777777" w:rsidR="005F7922" w:rsidRPr="00D075D7" w:rsidRDefault="005F7922" w:rsidP="005F7922">
      <w:pPr>
        <w:spacing w:before="240"/>
        <w:jc w:val="both"/>
        <w:rPr>
          <w:rFonts w:ascii="Lato Light" w:hAnsi="Lato Light"/>
        </w:rPr>
      </w:pPr>
      <w:r w:rsidRPr="00D075D7">
        <w:rPr>
          <w:rFonts w:ascii="Lato Light" w:hAnsi="Lato Light"/>
        </w:rPr>
        <w:t>e) Que se cumple, en su caso, lo establecido en el artículo 3, apartado 4.</w:t>
      </w:r>
    </w:p>
    <w:p w14:paraId="42E2AE8C" w14:textId="77777777" w:rsidR="00300600" w:rsidRPr="00D075D7" w:rsidRDefault="00300600" w:rsidP="00300600">
      <w:pPr>
        <w:spacing w:before="240"/>
        <w:jc w:val="both"/>
        <w:rPr>
          <w:rFonts w:ascii="Lato Light" w:hAnsi="Lato Light"/>
        </w:rPr>
      </w:pPr>
      <w:r w:rsidRPr="00D075D7">
        <w:rPr>
          <w:rFonts w:ascii="Lato Light" w:hAnsi="Lato Light"/>
        </w:rPr>
        <w:lastRenderedPageBreak/>
        <w:t>El artículo 3.4 párrafo segundo de la NF 5/2013 habilita a las entidades locales del Territorio Histórico de Bizkaia la posibilidad de utilizar las cuantías que, en virtud de disposición reglamentaria, no sean destinadas a la disminución de la deuda, como recurso financiero de las modificaciones presupuestarias que considere oportunas.</w:t>
      </w:r>
    </w:p>
    <w:p w14:paraId="0D4F04B5" w14:textId="77777777" w:rsidR="00300600" w:rsidRPr="00D075D7" w:rsidRDefault="00300600" w:rsidP="009C4D2B">
      <w:pPr>
        <w:spacing w:before="240"/>
        <w:jc w:val="both"/>
        <w:rPr>
          <w:rFonts w:ascii="Lato Light" w:hAnsi="Lato Light"/>
        </w:rPr>
      </w:pPr>
      <w:r w:rsidRPr="00D075D7">
        <w:rPr>
          <w:rFonts w:ascii="Lato Light" w:hAnsi="Lato Light"/>
        </w:rPr>
        <w:t xml:space="preserve">En uso de esta posibilidad </w:t>
      </w:r>
      <w:r w:rsidR="009C4D2B" w:rsidRPr="00D075D7">
        <w:rPr>
          <w:rFonts w:ascii="Lato Light" w:hAnsi="Lato Light"/>
        </w:rPr>
        <w:t xml:space="preserve">el </w:t>
      </w:r>
      <w:r w:rsidR="00B3377C" w:rsidRPr="00D075D7">
        <w:rPr>
          <w:rFonts w:ascii="Lato Light" w:hAnsi="Lato Light"/>
          <w:highlight w:val="lightGray"/>
        </w:rPr>
        <w:t>a</w:t>
      </w:r>
      <w:r w:rsidR="009C4D2B" w:rsidRPr="00D075D7">
        <w:rPr>
          <w:rFonts w:ascii="Lato Light" w:hAnsi="Lato Light"/>
          <w:highlight w:val="lightGray"/>
        </w:rPr>
        <w:t>yuntamiento de …</w:t>
      </w:r>
      <w:r w:rsidR="009C4D2B" w:rsidRPr="00D075D7">
        <w:rPr>
          <w:rFonts w:ascii="Lato Light" w:hAnsi="Lato Light"/>
        </w:rPr>
        <w:t xml:space="preserve"> ha procedido durante… </w:t>
      </w:r>
      <w:r w:rsidR="009C4D2B" w:rsidRPr="00D075D7">
        <w:rPr>
          <w:rFonts w:ascii="Lato Light" w:hAnsi="Lato Light"/>
          <w:highlight w:val="lightGray"/>
        </w:rPr>
        <w:t>(el primer trimestre de 202</w:t>
      </w:r>
      <w:r w:rsidR="00161D5E" w:rsidRPr="00D075D7">
        <w:rPr>
          <w:rFonts w:ascii="Lato Light" w:hAnsi="Lato Light"/>
          <w:highlight w:val="lightGray"/>
        </w:rPr>
        <w:t>X</w:t>
      </w:r>
      <w:r w:rsidR="009C4D2B" w:rsidRPr="00D075D7">
        <w:rPr>
          <w:rFonts w:ascii="Lato Light" w:hAnsi="Lato Light"/>
          <w:highlight w:val="lightGray"/>
        </w:rPr>
        <w:t>, el ejercicio 202</w:t>
      </w:r>
      <w:r w:rsidR="00161D5E" w:rsidRPr="00D075D7">
        <w:rPr>
          <w:rFonts w:ascii="Lato Light" w:hAnsi="Lato Light"/>
          <w:highlight w:val="lightGray"/>
        </w:rPr>
        <w:t>X</w:t>
      </w:r>
      <w:r w:rsidR="009C4D2B" w:rsidRPr="00D075D7">
        <w:rPr>
          <w:rFonts w:ascii="Lato Light" w:hAnsi="Lato Light"/>
          <w:highlight w:val="lightGray"/>
        </w:rPr>
        <w:t>…</w:t>
      </w:r>
      <w:proofErr w:type="gramStart"/>
      <w:r w:rsidR="009C4D2B" w:rsidRPr="00D075D7">
        <w:rPr>
          <w:rFonts w:ascii="Lato Light" w:hAnsi="Lato Light"/>
          <w:highlight w:val="lightGray"/>
        </w:rPr>
        <w:t>)</w:t>
      </w:r>
      <w:r w:rsidR="009C4D2B" w:rsidRPr="00D075D7">
        <w:rPr>
          <w:rFonts w:ascii="Lato Light" w:hAnsi="Lato Light"/>
        </w:rPr>
        <w:t>,,</w:t>
      </w:r>
      <w:proofErr w:type="gramEnd"/>
      <w:r w:rsidR="009C4D2B" w:rsidRPr="00D075D7">
        <w:rPr>
          <w:rFonts w:ascii="Lato Light" w:hAnsi="Lato Light"/>
        </w:rPr>
        <w:t xml:space="preserve"> , a iniciar y tramitar un total de X expedientes de modificación presupuestaria por concesión de crédito adicional financiados con el remanente de tesorería para gastos generales, por importe total acumulado hasta la fecha de </w:t>
      </w:r>
      <w:r w:rsidR="009C4D2B" w:rsidRPr="00D075D7">
        <w:rPr>
          <w:rFonts w:ascii="Lato Light" w:hAnsi="Lato Light"/>
          <w:highlight w:val="lightGray"/>
        </w:rPr>
        <w:t>XXX</w:t>
      </w:r>
      <w:r w:rsidR="00A32ADC" w:rsidRPr="00D075D7">
        <w:rPr>
          <w:rFonts w:ascii="Lato Light" w:hAnsi="Lato Light"/>
        </w:rPr>
        <w:t xml:space="preserve"> euros.</w:t>
      </w:r>
    </w:p>
    <w:p w14:paraId="2B74510C" w14:textId="77777777" w:rsidR="00161D5E" w:rsidRPr="00D075D7" w:rsidRDefault="00300600" w:rsidP="00300600">
      <w:pPr>
        <w:spacing w:before="240"/>
        <w:jc w:val="both"/>
        <w:rPr>
          <w:rFonts w:ascii="Lato Light" w:hAnsi="Lato Light"/>
        </w:rPr>
      </w:pPr>
      <w:r w:rsidRPr="00D075D7">
        <w:rPr>
          <w:rFonts w:ascii="Lato Light" w:hAnsi="Lato Light"/>
        </w:rPr>
        <w:t>Asimismo, para este periodo se h</w:t>
      </w:r>
      <w:r w:rsidR="00A32ADC" w:rsidRPr="00D075D7">
        <w:rPr>
          <w:rFonts w:ascii="Lato Light" w:hAnsi="Lato Light"/>
        </w:rPr>
        <w:t>a</w:t>
      </w:r>
      <w:r w:rsidRPr="00D075D7">
        <w:rPr>
          <w:rFonts w:ascii="Lato Light" w:hAnsi="Lato Light"/>
        </w:rPr>
        <w:t xml:space="preserve"> </w:t>
      </w:r>
      <w:r w:rsidR="00A32ADC" w:rsidRPr="00D075D7">
        <w:rPr>
          <w:rFonts w:ascii="Lato Light" w:hAnsi="Lato Light"/>
        </w:rPr>
        <w:t xml:space="preserve">hecho uso del remanente de tesorería para gastos en la cantidad </w:t>
      </w:r>
      <w:r w:rsidR="00A32ADC" w:rsidRPr="00D075D7">
        <w:rPr>
          <w:rFonts w:ascii="Lato Light" w:hAnsi="Lato Light"/>
          <w:highlight w:val="lightGray"/>
        </w:rPr>
        <w:t>de XXX</w:t>
      </w:r>
      <w:r w:rsidR="00A32ADC" w:rsidRPr="00D075D7">
        <w:rPr>
          <w:rFonts w:ascii="Lato Light" w:hAnsi="Lato Light"/>
        </w:rPr>
        <w:t xml:space="preserve">€, para financiar un total </w:t>
      </w:r>
      <w:r w:rsidR="00A32ADC" w:rsidRPr="00D075D7">
        <w:rPr>
          <w:rFonts w:ascii="Lato Light" w:hAnsi="Lato Light"/>
          <w:highlight w:val="lightGray"/>
        </w:rPr>
        <w:t>de X</w:t>
      </w:r>
      <w:r w:rsidR="00A32ADC" w:rsidRPr="00D075D7">
        <w:rPr>
          <w:rFonts w:ascii="Lato Light" w:hAnsi="Lato Light"/>
        </w:rPr>
        <w:t xml:space="preserve"> expedientes de incorporación de créditos.</w:t>
      </w:r>
      <w:r w:rsidR="000F041A" w:rsidRPr="00D075D7">
        <w:rPr>
          <w:rFonts w:ascii="Lato Light" w:hAnsi="Lato Light"/>
        </w:rPr>
        <w:t xml:space="preserve"> </w:t>
      </w:r>
    </w:p>
    <w:p w14:paraId="2856032A" w14:textId="77777777" w:rsidR="00300600" w:rsidRPr="00D075D7" w:rsidRDefault="000F041A" w:rsidP="00300600">
      <w:pPr>
        <w:spacing w:before="240"/>
        <w:jc w:val="both"/>
        <w:rPr>
          <w:rFonts w:ascii="Lato Light" w:hAnsi="Lato Light"/>
        </w:rPr>
      </w:pPr>
      <w:r w:rsidRPr="00D075D7">
        <w:rPr>
          <w:rFonts w:ascii="Lato Light" w:hAnsi="Lato Light"/>
        </w:rPr>
        <w:t>El detalle</w:t>
      </w:r>
      <w:r w:rsidR="00161D5E" w:rsidRPr="00D075D7">
        <w:rPr>
          <w:rFonts w:ascii="Lato Light" w:hAnsi="Lato Light"/>
        </w:rPr>
        <w:t xml:space="preserve"> de las modificaciones de crédito</w:t>
      </w:r>
      <w:r w:rsidRPr="00D075D7">
        <w:rPr>
          <w:rFonts w:ascii="Lato Light" w:hAnsi="Lato Light"/>
        </w:rPr>
        <w:t xml:space="preserve"> es el siguiente:</w:t>
      </w:r>
    </w:p>
    <w:tbl>
      <w:tblPr>
        <w:tblW w:w="8926" w:type="dxa"/>
        <w:tblInd w:w="75" w:type="dxa"/>
        <w:tblCellMar>
          <w:left w:w="70" w:type="dxa"/>
          <w:right w:w="70" w:type="dxa"/>
        </w:tblCellMar>
        <w:tblLook w:val="04A0" w:firstRow="1" w:lastRow="0" w:firstColumn="1" w:lastColumn="0" w:noHBand="0" w:noVBand="1"/>
      </w:tblPr>
      <w:tblGrid>
        <w:gridCol w:w="6941"/>
        <w:gridCol w:w="1985"/>
      </w:tblGrid>
      <w:tr w:rsidR="00161D5E" w:rsidRPr="00D075D7" w14:paraId="54196834" w14:textId="77777777" w:rsidTr="00161D5E">
        <w:trPr>
          <w:trHeight w:val="300"/>
        </w:trPr>
        <w:tc>
          <w:tcPr>
            <w:tcW w:w="6941" w:type="dxa"/>
            <w:tcBorders>
              <w:top w:val="single" w:sz="4" w:space="0" w:color="auto"/>
              <w:left w:val="single" w:sz="4" w:space="0" w:color="auto"/>
              <w:bottom w:val="single" w:sz="4" w:space="0" w:color="auto"/>
              <w:right w:val="single" w:sz="4" w:space="0" w:color="auto"/>
            </w:tcBorders>
            <w:noWrap/>
            <w:vAlign w:val="bottom"/>
            <w:hideMark/>
          </w:tcPr>
          <w:p w14:paraId="06C438E1" w14:textId="77777777" w:rsidR="00161D5E" w:rsidRPr="00D075D7" w:rsidRDefault="00161D5E" w:rsidP="00161D5E">
            <w:pPr>
              <w:spacing w:after="0" w:line="240" w:lineRule="auto"/>
              <w:rPr>
                <w:rFonts w:ascii="Lato Light" w:hAnsi="Lato Light"/>
                <w:u w:val="single"/>
                <w:lang w:eastAsia="es-ES"/>
              </w:rPr>
            </w:pPr>
            <w:r w:rsidRPr="00D075D7">
              <w:rPr>
                <w:rFonts w:ascii="Lato Light" w:hAnsi="Lato Light"/>
                <w:u w:val="single"/>
                <w:lang w:eastAsia="es-ES"/>
              </w:rPr>
              <w:t>INGRESOS</w:t>
            </w:r>
          </w:p>
        </w:tc>
        <w:tc>
          <w:tcPr>
            <w:tcW w:w="1985" w:type="dxa"/>
            <w:tcBorders>
              <w:top w:val="single" w:sz="4" w:space="0" w:color="auto"/>
              <w:left w:val="nil"/>
              <w:bottom w:val="single" w:sz="4" w:space="0" w:color="auto"/>
              <w:right w:val="single" w:sz="4" w:space="0" w:color="auto"/>
            </w:tcBorders>
            <w:noWrap/>
            <w:vAlign w:val="bottom"/>
            <w:hideMark/>
          </w:tcPr>
          <w:p w14:paraId="30C6C251" w14:textId="77777777" w:rsidR="00161D5E" w:rsidRPr="00D075D7" w:rsidRDefault="00161D5E" w:rsidP="00161D5E">
            <w:pPr>
              <w:spacing w:after="0" w:line="240" w:lineRule="auto"/>
              <w:rPr>
                <w:rFonts w:ascii="Lato Light" w:hAnsi="Lato Light"/>
                <w:u w:val="single"/>
                <w:lang w:eastAsia="es-ES"/>
              </w:rPr>
            </w:pPr>
            <w:r w:rsidRPr="00D075D7">
              <w:rPr>
                <w:rFonts w:ascii="Lato Light" w:hAnsi="Lato Light"/>
                <w:u w:val="single"/>
                <w:lang w:eastAsia="es-ES"/>
              </w:rPr>
              <w:t>Importe</w:t>
            </w:r>
          </w:p>
        </w:tc>
      </w:tr>
      <w:tr w:rsidR="00161D5E" w:rsidRPr="00D075D7" w14:paraId="45FAB72C" w14:textId="77777777" w:rsidTr="00161D5E">
        <w:trPr>
          <w:trHeight w:val="300"/>
        </w:trPr>
        <w:tc>
          <w:tcPr>
            <w:tcW w:w="6941" w:type="dxa"/>
            <w:tcBorders>
              <w:top w:val="nil"/>
              <w:left w:val="single" w:sz="4" w:space="0" w:color="auto"/>
              <w:bottom w:val="single" w:sz="4" w:space="0" w:color="auto"/>
              <w:right w:val="single" w:sz="4" w:space="0" w:color="auto"/>
            </w:tcBorders>
            <w:noWrap/>
            <w:vAlign w:val="bottom"/>
            <w:hideMark/>
          </w:tcPr>
          <w:p w14:paraId="6DBF775E" w14:textId="77777777" w:rsidR="00161D5E" w:rsidRPr="00D075D7" w:rsidRDefault="00161D5E" w:rsidP="00161D5E">
            <w:pPr>
              <w:spacing w:after="0" w:line="240" w:lineRule="auto"/>
              <w:rPr>
                <w:rFonts w:ascii="Lato Light" w:hAnsi="Lato Light"/>
                <w:lang w:eastAsia="es-ES"/>
              </w:rPr>
            </w:pPr>
            <w:r w:rsidRPr="00D075D7">
              <w:rPr>
                <w:rFonts w:ascii="Lato Light" w:hAnsi="Lato Light"/>
                <w:lang w:eastAsia="es-ES"/>
              </w:rPr>
              <w:t>Remanente de Tesorería Afectado</w:t>
            </w:r>
          </w:p>
        </w:tc>
        <w:tc>
          <w:tcPr>
            <w:tcW w:w="1985" w:type="dxa"/>
            <w:tcBorders>
              <w:top w:val="nil"/>
              <w:left w:val="nil"/>
              <w:bottom w:val="single" w:sz="4" w:space="0" w:color="auto"/>
              <w:right w:val="single" w:sz="4" w:space="0" w:color="auto"/>
            </w:tcBorders>
            <w:noWrap/>
            <w:vAlign w:val="bottom"/>
            <w:hideMark/>
          </w:tcPr>
          <w:p w14:paraId="6553413D" w14:textId="77777777" w:rsidR="00161D5E" w:rsidRPr="00D075D7" w:rsidRDefault="00161D5E" w:rsidP="00161D5E">
            <w:pPr>
              <w:spacing w:after="0" w:line="240" w:lineRule="auto"/>
              <w:rPr>
                <w:rFonts w:ascii="Lato Light" w:hAnsi="Lato Light"/>
                <w:lang w:eastAsia="es-ES"/>
              </w:rPr>
            </w:pPr>
            <w:r w:rsidRPr="00D075D7">
              <w:rPr>
                <w:rFonts w:ascii="Lato Light" w:hAnsi="Lato Light"/>
                <w:lang w:eastAsia="es-ES"/>
              </w:rPr>
              <w:t> </w:t>
            </w:r>
          </w:p>
        </w:tc>
      </w:tr>
      <w:tr w:rsidR="00161D5E" w:rsidRPr="00D075D7" w14:paraId="16400ED8" w14:textId="77777777" w:rsidTr="00161D5E">
        <w:trPr>
          <w:trHeight w:val="300"/>
        </w:trPr>
        <w:tc>
          <w:tcPr>
            <w:tcW w:w="6941" w:type="dxa"/>
            <w:tcBorders>
              <w:top w:val="nil"/>
              <w:left w:val="single" w:sz="4" w:space="0" w:color="auto"/>
              <w:bottom w:val="single" w:sz="4" w:space="0" w:color="auto"/>
              <w:right w:val="single" w:sz="4" w:space="0" w:color="auto"/>
            </w:tcBorders>
            <w:noWrap/>
            <w:vAlign w:val="bottom"/>
            <w:hideMark/>
          </w:tcPr>
          <w:p w14:paraId="3E51F00C" w14:textId="77777777" w:rsidR="00161D5E" w:rsidRPr="00D075D7" w:rsidRDefault="00161D5E" w:rsidP="00161D5E">
            <w:pPr>
              <w:spacing w:after="0" w:line="240" w:lineRule="auto"/>
              <w:rPr>
                <w:rFonts w:ascii="Lato Light" w:hAnsi="Lato Light"/>
                <w:lang w:eastAsia="es-ES"/>
              </w:rPr>
            </w:pPr>
            <w:r w:rsidRPr="00D075D7">
              <w:rPr>
                <w:rFonts w:ascii="Lato Light" w:hAnsi="Lato Light"/>
                <w:lang w:eastAsia="es-ES"/>
              </w:rPr>
              <w:t>Remanente de Tesorería para Gastos Generales</w:t>
            </w:r>
          </w:p>
        </w:tc>
        <w:tc>
          <w:tcPr>
            <w:tcW w:w="1985" w:type="dxa"/>
            <w:tcBorders>
              <w:top w:val="nil"/>
              <w:left w:val="nil"/>
              <w:bottom w:val="single" w:sz="4" w:space="0" w:color="auto"/>
              <w:right w:val="single" w:sz="4" w:space="0" w:color="auto"/>
            </w:tcBorders>
            <w:noWrap/>
            <w:vAlign w:val="bottom"/>
            <w:hideMark/>
          </w:tcPr>
          <w:p w14:paraId="6872C6C3" w14:textId="77777777" w:rsidR="00161D5E" w:rsidRPr="00D075D7" w:rsidRDefault="00161D5E" w:rsidP="00161D5E">
            <w:pPr>
              <w:spacing w:after="0" w:line="240" w:lineRule="auto"/>
              <w:rPr>
                <w:rFonts w:ascii="Lato Light" w:hAnsi="Lato Light"/>
                <w:lang w:eastAsia="es-ES"/>
              </w:rPr>
            </w:pPr>
            <w:r w:rsidRPr="00D075D7">
              <w:rPr>
                <w:rFonts w:ascii="Lato Light" w:hAnsi="Lato Light"/>
                <w:lang w:eastAsia="es-ES"/>
              </w:rPr>
              <w:t> </w:t>
            </w:r>
          </w:p>
        </w:tc>
      </w:tr>
      <w:tr w:rsidR="00161D5E" w:rsidRPr="00D075D7" w14:paraId="6CB66552" w14:textId="77777777" w:rsidTr="00161D5E">
        <w:trPr>
          <w:trHeight w:val="300"/>
        </w:trPr>
        <w:tc>
          <w:tcPr>
            <w:tcW w:w="6941" w:type="dxa"/>
            <w:tcBorders>
              <w:top w:val="nil"/>
              <w:left w:val="single" w:sz="4" w:space="0" w:color="auto"/>
              <w:bottom w:val="single" w:sz="4" w:space="0" w:color="auto"/>
              <w:right w:val="single" w:sz="4" w:space="0" w:color="auto"/>
            </w:tcBorders>
            <w:noWrap/>
            <w:vAlign w:val="bottom"/>
            <w:hideMark/>
          </w:tcPr>
          <w:p w14:paraId="32862C71" w14:textId="77777777" w:rsidR="00161D5E" w:rsidRPr="00D075D7" w:rsidRDefault="00161D5E" w:rsidP="00161D5E">
            <w:pPr>
              <w:spacing w:after="0" w:line="240" w:lineRule="auto"/>
              <w:rPr>
                <w:rFonts w:ascii="Lato Light" w:hAnsi="Lato Light"/>
                <w:lang w:eastAsia="es-ES"/>
              </w:rPr>
            </w:pPr>
            <w:r w:rsidRPr="00D075D7">
              <w:rPr>
                <w:rFonts w:ascii="Lato Light" w:hAnsi="Lato Light"/>
                <w:lang w:eastAsia="es-ES"/>
              </w:rPr>
              <w:t> </w:t>
            </w:r>
          </w:p>
        </w:tc>
        <w:tc>
          <w:tcPr>
            <w:tcW w:w="1985" w:type="dxa"/>
            <w:tcBorders>
              <w:top w:val="nil"/>
              <w:left w:val="nil"/>
              <w:bottom w:val="single" w:sz="4" w:space="0" w:color="auto"/>
              <w:right w:val="single" w:sz="4" w:space="0" w:color="auto"/>
            </w:tcBorders>
            <w:noWrap/>
            <w:vAlign w:val="bottom"/>
            <w:hideMark/>
          </w:tcPr>
          <w:p w14:paraId="6063B8D3" w14:textId="77777777" w:rsidR="00161D5E" w:rsidRPr="00D075D7" w:rsidRDefault="00161D5E" w:rsidP="00161D5E">
            <w:pPr>
              <w:spacing w:after="0" w:line="240" w:lineRule="auto"/>
              <w:rPr>
                <w:rFonts w:ascii="Lato Light" w:hAnsi="Lato Light"/>
                <w:lang w:eastAsia="es-ES"/>
              </w:rPr>
            </w:pPr>
            <w:r w:rsidRPr="00D075D7">
              <w:rPr>
                <w:rFonts w:ascii="Lato Light" w:hAnsi="Lato Light"/>
                <w:lang w:eastAsia="es-ES"/>
              </w:rPr>
              <w:t> </w:t>
            </w:r>
          </w:p>
        </w:tc>
      </w:tr>
      <w:tr w:rsidR="00161D5E" w:rsidRPr="00D075D7" w14:paraId="3958566E" w14:textId="77777777" w:rsidTr="00161D5E">
        <w:trPr>
          <w:trHeight w:val="300"/>
        </w:trPr>
        <w:tc>
          <w:tcPr>
            <w:tcW w:w="6941" w:type="dxa"/>
            <w:tcBorders>
              <w:top w:val="nil"/>
              <w:left w:val="single" w:sz="4" w:space="0" w:color="auto"/>
              <w:bottom w:val="single" w:sz="4" w:space="0" w:color="auto"/>
              <w:right w:val="single" w:sz="4" w:space="0" w:color="auto"/>
            </w:tcBorders>
            <w:noWrap/>
            <w:vAlign w:val="bottom"/>
            <w:hideMark/>
          </w:tcPr>
          <w:p w14:paraId="2C59DF7F" w14:textId="77777777" w:rsidR="00161D5E" w:rsidRPr="00D075D7" w:rsidRDefault="00161D5E" w:rsidP="00161D5E">
            <w:pPr>
              <w:spacing w:after="0" w:line="240" w:lineRule="auto"/>
              <w:rPr>
                <w:rFonts w:ascii="Lato Light" w:hAnsi="Lato Light"/>
                <w:u w:val="single"/>
                <w:lang w:eastAsia="es-ES"/>
              </w:rPr>
            </w:pPr>
            <w:r w:rsidRPr="00D075D7">
              <w:rPr>
                <w:rFonts w:ascii="Lato Light" w:hAnsi="Lato Light"/>
                <w:u w:val="single"/>
                <w:lang w:eastAsia="es-ES"/>
              </w:rPr>
              <w:t>GASTOS</w:t>
            </w:r>
          </w:p>
        </w:tc>
        <w:tc>
          <w:tcPr>
            <w:tcW w:w="1985" w:type="dxa"/>
            <w:tcBorders>
              <w:top w:val="nil"/>
              <w:left w:val="nil"/>
              <w:bottom w:val="single" w:sz="4" w:space="0" w:color="auto"/>
              <w:right w:val="single" w:sz="4" w:space="0" w:color="auto"/>
            </w:tcBorders>
            <w:noWrap/>
            <w:vAlign w:val="bottom"/>
            <w:hideMark/>
          </w:tcPr>
          <w:p w14:paraId="0EDFC369" w14:textId="77777777" w:rsidR="00161D5E" w:rsidRPr="00D075D7" w:rsidRDefault="00161D5E" w:rsidP="00161D5E">
            <w:pPr>
              <w:spacing w:after="0" w:line="240" w:lineRule="auto"/>
              <w:rPr>
                <w:rFonts w:ascii="Lato Light" w:hAnsi="Lato Light"/>
                <w:lang w:eastAsia="es-ES"/>
              </w:rPr>
            </w:pPr>
            <w:r w:rsidRPr="00D075D7">
              <w:rPr>
                <w:rFonts w:ascii="Lato Light" w:hAnsi="Lato Light"/>
                <w:lang w:eastAsia="es-ES"/>
              </w:rPr>
              <w:t> </w:t>
            </w:r>
          </w:p>
        </w:tc>
      </w:tr>
      <w:tr w:rsidR="00161D5E" w:rsidRPr="00D075D7" w14:paraId="4D05EF7D" w14:textId="77777777" w:rsidTr="00161D5E">
        <w:trPr>
          <w:trHeight w:val="300"/>
        </w:trPr>
        <w:tc>
          <w:tcPr>
            <w:tcW w:w="6941" w:type="dxa"/>
            <w:tcBorders>
              <w:top w:val="nil"/>
              <w:left w:val="single" w:sz="4" w:space="0" w:color="auto"/>
              <w:bottom w:val="single" w:sz="4" w:space="0" w:color="auto"/>
              <w:right w:val="single" w:sz="4" w:space="0" w:color="auto"/>
            </w:tcBorders>
            <w:noWrap/>
            <w:vAlign w:val="bottom"/>
            <w:hideMark/>
          </w:tcPr>
          <w:p w14:paraId="0CF89826" w14:textId="77777777" w:rsidR="00161D5E" w:rsidRPr="00D075D7" w:rsidRDefault="00161D5E" w:rsidP="00161D5E">
            <w:pPr>
              <w:spacing w:after="0" w:line="240" w:lineRule="auto"/>
              <w:rPr>
                <w:rFonts w:ascii="Lato Light" w:hAnsi="Lato Light"/>
                <w:lang w:eastAsia="es-ES"/>
              </w:rPr>
            </w:pPr>
            <w:r w:rsidRPr="00D075D7">
              <w:rPr>
                <w:rFonts w:ascii="Lato Light" w:hAnsi="Lato Light"/>
                <w:lang w:eastAsia="es-ES"/>
              </w:rPr>
              <w:t>Aplicación pptaria (Capítulo y descripción)</w:t>
            </w:r>
          </w:p>
        </w:tc>
        <w:tc>
          <w:tcPr>
            <w:tcW w:w="1985" w:type="dxa"/>
            <w:tcBorders>
              <w:top w:val="nil"/>
              <w:left w:val="nil"/>
              <w:bottom w:val="single" w:sz="4" w:space="0" w:color="auto"/>
              <w:right w:val="single" w:sz="4" w:space="0" w:color="auto"/>
            </w:tcBorders>
            <w:noWrap/>
            <w:vAlign w:val="bottom"/>
            <w:hideMark/>
          </w:tcPr>
          <w:p w14:paraId="37F1A9A5" w14:textId="77777777" w:rsidR="00161D5E" w:rsidRPr="00D075D7" w:rsidRDefault="00161D5E" w:rsidP="00161D5E">
            <w:pPr>
              <w:spacing w:after="0" w:line="240" w:lineRule="auto"/>
              <w:rPr>
                <w:rFonts w:ascii="Lato Light" w:hAnsi="Lato Light"/>
                <w:lang w:eastAsia="es-ES"/>
              </w:rPr>
            </w:pPr>
            <w:r w:rsidRPr="00D075D7">
              <w:rPr>
                <w:rFonts w:ascii="Lato Light" w:hAnsi="Lato Light"/>
                <w:lang w:eastAsia="es-ES"/>
              </w:rPr>
              <w:t> </w:t>
            </w:r>
          </w:p>
        </w:tc>
      </w:tr>
      <w:tr w:rsidR="00161D5E" w:rsidRPr="00D075D7" w14:paraId="55887E70" w14:textId="77777777" w:rsidTr="00161D5E">
        <w:trPr>
          <w:trHeight w:val="300"/>
        </w:trPr>
        <w:tc>
          <w:tcPr>
            <w:tcW w:w="6941" w:type="dxa"/>
            <w:tcBorders>
              <w:top w:val="nil"/>
              <w:left w:val="single" w:sz="4" w:space="0" w:color="auto"/>
              <w:bottom w:val="single" w:sz="4" w:space="0" w:color="auto"/>
              <w:right w:val="single" w:sz="4" w:space="0" w:color="auto"/>
            </w:tcBorders>
            <w:noWrap/>
            <w:vAlign w:val="bottom"/>
            <w:hideMark/>
          </w:tcPr>
          <w:p w14:paraId="77C1725D" w14:textId="77777777" w:rsidR="00161D5E" w:rsidRPr="00D075D7" w:rsidRDefault="00161D5E" w:rsidP="00161D5E">
            <w:pPr>
              <w:spacing w:after="0" w:line="240" w:lineRule="auto"/>
              <w:rPr>
                <w:rFonts w:ascii="Lato Light" w:hAnsi="Lato Light"/>
                <w:lang w:eastAsia="es-ES"/>
              </w:rPr>
            </w:pPr>
            <w:r w:rsidRPr="00D075D7">
              <w:rPr>
                <w:rFonts w:ascii="Lato Light" w:hAnsi="Lato Light"/>
                <w:lang w:eastAsia="es-ES"/>
              </w:rPr>
              <w:t> </w:t>
            </w:r>
          </w:p>
        </w:tc>
        <w:tc>
          <w:tcPr>
            <w:tcW w:w="1985" w:type="dxa"/>
            <w:tcBorders>
              <w:top w:val="nil"/>
              <w:left w:val="nil"/>
              <w:bottom w:val="single" w:sz="4" w:space="0" w:color="auto"/>
              <w:right w:val="single" w:sz="4" w:space="0" w:color="auto"/>
            </w:tcBorders>
            <w:noWrap/>
            <w:vAlign w:val="bottom"/>
            <w:hideMark/>
          </w:tcPr>
          <w:p w14:paraId="534D3F76" w14:textId="77777777" w:rsidR="00161D5E" w:rsidRPr="00D075D7" w:rsidRDefault="00161D5E" w:rsidP="00161D5E">
            <w:pPr>
              <w:spacing w:after="0" w:line="240" w:lineRule="auto"/>
              <w:rPr>
                <w:rFonts w:ascii="Lato Light" w:hAnsi="Lato Light"/>
                <w:lang w:eastAsia="es-ES"/>
              </w:rPr>
            </w:pPr>
            <w:r w:rsidRPr="00D075D7">
              <w:rPr>
                <w:rFonts w:ascii="Lato Light" w:hAnsi="Lato Light"/>
                <w:lang w:eastAsia="es-ES"/>
              </w:rPr>
              <w:t> </w:t>
            </w:r>
          </w:p>
        </w:tc>
      </w:tr>
      <w:tr w:rsidR="00161D5E" w:rsidRPr="00D075D7" w14:paraId="10B210E8" w14:textId="77777777" w:rsidTr="00161D5E">
        <w:trPr>
          <w:trHeight w:val="300"/>
        </w:trPr>
        <w:tc>
          <w:tcPr>
            <w:tcW w:w="6941" w:type="dxa"/>
            <w:tcBorders>
              <w:top w:val="nil"/>
              <w:left w:val="single" w:sz="4" w:space="0" w:color="auto"/>
              <w:bottom w:val="single" w:sz="4" w:space="0" w:color="auto"/>
              <w:right w:val="single" w:sz="4" w:space="0" w:color="auto"/>
            </w:tcBorders>
            <w:noWrap/>
            <w:vAlign w:val="bottom"/>
            <w:hideMark/>
          </w:tcPr>
          <w:p w14:paraId="70677017" w14:textId="77777777" w:rsidR="00161D5E" w:rsidRPr="00D075D7" w:rsidRDefault="00161D5E" w:rsidP="00161D5E">
            <w:pPr>
              <w:spacing w:after="0" w:line="240" w:lineRule="auto"/>
              <w:rPr>
                <w:rFonts w:ascii="Lato Light" w:hAnsi="Lato Light"/>
                <w:lang w:eastAsia="es-ES"/>
              </w:rPr>
            </w:pPr>
            <w:r w:rsidRPr="00D075D7">
              <w:rPr>
                <w:rFonts w:ascii="Lato Light" w:hAnsi="Lato Light"/>
                <w:lang w:eastAsia="es-ES"/>
              </w:rPr>
              <w:t> </w:t>
            </w:r>
          </w:p>
        </w:tc>
        <w:tc>
          <w:tcPr>
            <w:tcW w:w="1985" w:type="dxa"/>
            <w:tcBorders>
              <w:top w:val="nil"/>
              <w:left w:val="nil"/>
              <w:bottom w:val="single" w:sz="4" w:space="0" w:color="auto"/>
              <w:right w:val="single" w:sz="4" w:space="0" w:color="auto"/>
            </w:tcBorders>
            <w:noWrap/>
            <w:vAlign w:val="bottom"/>
            <w:hideMark/>
          </w:tcPr>
          <w:p w14:paraId="4B4427A7" w14:textId="77777777" w:rsidR="00161D5E" w:rsidRPr="00D075D7" w:rsidRDefault="00161D5E" w:rsidP="00161D5E">
            <w:pPr>
              <w:spacing w:after="0" w:line="240" w:lineRule="auto"/>
              <w:rPr>
                <w:rFonts w:ascii="Lato Light" w:hAnsi="Lato Light"/>
                <w:lang w:eastAsia="es-ES"/>
              </w:rPr>
            </w:pPr>
            <w:r w:rsidRPr="00D075D7">
              <w:rPr>
                <w:rFonts w:ascii="Lato Light" w:hAnsi="Lato Light"/>
                <w:lang w:eastAsia="es-ES"/>
              </w:rPr>
              <w:t> </w:t>
            </w:r>
          </w:p>
        </w:tc>
      </w:tr>
      <w:tr w:rsidR="00161D5E" w:rsidRPr="00D075D7" w14:paraId="444193BD" w14:textId="77777777" w:rsidTr="00161D5E">
        <w:trPr>
          <w:trHeight w:val="300"/>
        </w:trPr>
        <w:tc>
          <w:tcPr>
            <w:tcW w:w="6941" w:type="dxa"/>
            <w:tcBorders>
              <w:top w:val="nil"/>
              <w:left w:val="single" w:sz="4" w:space="0" w:color="auto"/>
              <w:bottom w:val="single" w:sz="4" w:space="0" w:color="auto"/>
              <w:right w:val="single" w:sz="4" w:space="0" w:color="auto"/>
            </w:tcBorders>
            <w:noWrap/>
            <w:vAlign w:val="bottom"/>
            <w:hideMark/>
          </w:tcPr>
          <w:p w14:paraId="1A3F4297" w14:textId="77777777" w:rsidR="00161D5E" w:rsidRPr="00D075D7" w:rsidRDefault="00161D5E" w:rsidP="00161D5E">
            <w:pPr>
              <w:spacing w:after="0" w:line="240" w:lineRule="auto"/>
              <w:rPr>
                <w:rFonts w:ascii="Lato Light" w:hAnsi="Lato Light"/>
                <w:lang w:eastAsia="es-ES"/>
              </w:rPr>
            </w:pPr>
            <w:r w:rsidRPr="00D075D7">
              <w:rPr>
                <w:rFonts w:ascii="Lato Light" w:hAnsi="Lato Light"/>
                <w:lang w:eastAsia="es-ES"/>
              </w:rPr>
              <w:t> </w:t>
            </w:r>
          </w:p>
        </w:tc>
        <w:tc>
          <w:tcPr>
            <w:tcW w:w="1985" w:type="dxa"/>
            <w:tcBorders>
              <w:top w:val="nil"/>
              <w:left w:val="nil"/>
              <w:bottom w:val="single" w:sz="4" w:space="0" w:color="auto"/>
              <w:right w:val="single" w:sz="4" w:space="0" w:color="auto"/>
            </w:tcBorders>
            <w:noWrap/>
            <w:vAlign w:val="bottom"/>
            <w:hideMark/>
          </w:tcPr>
          <w:p w14:paraId="07EA5813" w14:textId="77777777" w:rsidR="00161D5E" w:rsidRPr="00D075D7" w:rsidRDefault="00161D5E" w:rsidP="00161D5E">
            <w:pPr>
              <w:spacing w:after="0" w:line="240" w:lineRule="auto"/>
              <w:rPr>
                <w:rFonts w:ascii="Lato Light" w:hAnsi="Lato Light"/>
                <w:lang w:eastAsia="es-ES"/>
              </w:rPr>
            </w:pPr>
            <w:r w:rsidRPr="00D075D7">
              <w:rPr>
                <w:rFonts w:ascii="Lato Light" w:hAnsi="Lato Light"/>
                <w:lang w:eastAsia="es-ES"/>
              </w:rPr>
              <w:t> </w:t>
            </w:r>
          </w:p>
        </w:tc>
      </w:tr>
    </w:tbl>
    <w:p w14:paraId="22CD9467" w14:textId="77777777" w:rsidR="00300600" w:rsidRPr="00D075D7" w:rsidRDefault="00300600" w:rsidP="00300600">
      <w:pPr>
        <w:spacing w:before="240"/>
        <w:jc w:val="both"/>
        <w:rPr>
          <w:rFonts w:ascii="Lato Light" w:hAnsi="Lato Light"/>
        </w:rPr>
      </w:pPr>
      <w:r w:rsidRPr="00D075D7">
        <w:rPr>
          <w:rFonts w:ascii="Lato Light" w:hAnsi="Lato Light"/>
        </w:rPr>
        <w:t>Dicho</w:t>
      </w:r>
      <w:r w:rsidR="00161D5E" w:rsidRPr="00D075D7">
        <w:rPr>
          <w:rFonts w:ascii="Lato Light" w:hAnsi="Lato Light"/>
        </w:rPr>
        <w:t xml:space="preserve"> </w:t>
      </w:r>
      <w:r w:rsidRPr="00D075D7">
        <w:rPr>
          <w:rFonts w:ascii="Lato Light" w:hAnsi="Lato Light"/>
        </w:rPr>
        <w:t>lo cual</w:t>
      </w:r>
      <w:r w:rsidR="00161D5E" w:rsidRPr="00D075D7">
        <w:rPr>
          <w:rFonts w:ascii="Lato Light" w:hAnsi="Lato Light"/>
        </w:rPr>
        <w:t xml:space="preserve">, </w:t>
      </w:r>
      <w:r w:rsidR="00A3621C" w:rsidRPr="00D075D7">
        <w:rPr>
          <w:rFonts w:ascii="Lato Light" w:hAnsi="Lato Light"/>
        </w:rPr>
        <w:t xml:space="preserve">dado que debido a la modificación de crédito </w:t>
      </w:r>
      <w:r w:rsidR="00161D5E" w:rsidRPr="00D075D7">
        <w:rPr>
          <w:rFonts w:ascii="Lato Light" w:hAnsi="Lato Light"/>
        </w:rPr>
        <w:t>el ayuntamiento incumple el objetivo de estabilidad o regla de gasto por financiar con remanente de tesorería</w:t>
      </w:r>
      <w:r w:rsidR="00A3621C" w:rsidRPr="00D075D7">
        <w:rPr>
          <w:rFonts w:ascii="Lato Light" w:hAnsi="Lato Light"/>
        </w:rPr>
        <w:t xml:space="preserve"> dichos</w:t>
      </w:r>
      <w:r w:rsidR="00161D5E" w:rsidRPr="00D075D7">
        <w:rPr>
          <w:rFonts w:ascii="Lato Light" w:hAnsi="Lato Light"/>
        </w:rPr>
        <w:t xml:space="preserve"> gastos</w:t>
      </w:r>
      <w:r w:rsidR="00A3621C" w:rsidRPr="00D075D7">
        <w:rPr>
          <w:rFonts w:ascii="Lato Light" w:hAnsi="Lato Light"/>
        </w:rPr>
        <w:t>, re</w:t>
      </w:r>
      <w:r w:rsidRPr="00D075D7">
        <w:rPr>
          <w:rFonts w:ascii="Lato Light" w:hAnsi="Lato Light"/>
        </w:rPr>
        <w:t>sulta de aplicación el artículo 6.5 de la citada NF 5/2013, citado y transcrito al inicio del presente informe, en base al cual se emite el mismo, para su elevación al Pleno haciendo constar expresamente lo siguientes extremos:</w:t>
      </w:r>
    </w:p>
    <w:p w14:paraId="43C2E59F" w14:textId="77777777" w:rsidR="00E23F70" w:rsidRPr="00D075D7" w:rsidRDefault="00FB5E9E" w:rsidP="00E23F70">
      <w:pPr>
        <w:numPr>
          <w:ilvl w:val="0"/>
          <w:numId w:val="1"/>
        </w:numPr>
        <w:jc w:val="both"/>
        <w:rPr>
          <w:rFonts w:ascii="Lato Light" w:hAnsi="Lato Light"/>
        </w:rPr>
      </w:pPr>
      <w:r w:rsidRPr="00D075D7">
        <w:rPr>
          <w:rFonts w:ascii="Lato Light" w:hAnsi="Lato Light"/>
        </w:rPr>
        <w:t xml:space="preserve">El ayuntamiento </w:t>
      </w:r>
      <w:r w:rsidRPr="00D075D7">
        <w:rPr>
          <w:rFonts w:ascii="Lato Light" w:hAnsi="Lato Light"/>
          <w:highlight w:val="lightGray"/>
        </w:rPr>
        <w:t xml:space="preserve">de </w:t>
      </w:r>
      <w:r w:rsidR="007A5C88" w:rsidRPr="00D075D7">
        <w:rPr>
          <w:rFonts w:ascii="Lato Light" w:hAnsi="Lato Light"/>
          <w:highlight w:val="lightGray"/>
        </w:rPr>
        <w:t>……………</w:t>
      </w:r>
      <w:r w:rsidRPr="00D075D7">
        <w:rPr>
          <w:rFonts w:ascii="Lato Light" w:hAnsi="Lato Light"/>
          <w:highlight w:val="lightGray"/>
        </w:rPr>
        <w:t xml:space="preserve"> </w:t>
      </w:r>
      <w:r w:rsidRPr="00D075D7">
        <w:rPr>
          <w:rFonts w:ascii="Lato Light" w:hAnsi="Lato Light"/>
        </w:rPr>
        <w:t xml:space="preserve">tiene un </w:t>
      </w:r>
      <w:r w:rsidR="00E62DC4" w:rsidRPr="00D075D7">
        <w:rPr>
          <w:rFonts w:ascii="Lato Light" w:hAnsi="Lato Light"/>
        </w:rPr>
        <w:t>porcentaje de capital vivo de operaciones de deuda a largo plazo sobre ingresos corrientes consolidados</w:t>
      </w:r>
      <w:r w:rsidR="00686371" w:rsidRPr="00D075D7">
        <w:rPr>
          <w:rFonts w:ascii="Lato Light" w:hAnsi="Lato Light"/>
        </w:rPr>
        <w:t>,</w:t>
      </w:r>
      <w:r w:rsidRPr="00D075D7">
        <w:rPr>
          <w:rFonts w:ascii="Lato Light" w:hAnsi="Lato Light"/>
        </w:rPr>
        <w:t xml:space="preserve"> </w:t>
      </w:r>
      <w:r w:rsidR="00C86704" w:rsidRPr="00D075D7">
        <w:rPr>
          <w:rFonts w:ascii="Lato Light" w:hAnsi="Lato Light"/>
        </w:rPr>
        <w:t>a 31 de diciembre de 20</w:t>
      </w:r>
      <w:r w:rsidR="00730E0D" w:rsidRPr="00D075D7">
        <w:rPr>
          <w:rFonts w:ascii="Lato Light" w:hAnsi="Lato Light"/>
        </w:rPr>
        <w:t>2</w:t>
      </w:r>
      <w:r w:rsidR="00E62DC4" w:rsidRPr="00D075D7">
        <w:rPr>
          <w:rFonts w:ascii="Lato Light" w:hAnsi="Lato Light"/>
        </w:rPr>
        <w:t>X-1</w:t>
      </w:r>
      <w:r w:rsidR="00686371" w:rsidRPr="00D075D7">
        <w:rPr>
          <w:rFonts w:ascii="Lato Light" w:hAnsi="Lato Light"/>
        </w:rPr>
        <w:t>,</w:t>
      </w:r>
      <w:r w:rsidR="00C86704" w:rsidRPr="00D075D7">
        <w:rPr>
          <w:rFonts w:ascii="Lato Light" w:hAnsi="Lato Light"/>
        </w:rPr>
        <w:t xml:space="preserve"> </w:t>
      </w:r>
      <w:r w:rsidR="00C86704" w:rsidRPr="00D075D7">
        <w:rPr>
          <w:rFonts w:ascii="Lato Light" w:hAnsi="Lato Light"/>
          <w:highlight w:val="lightGray"/>
        </w:rPr>
        <w:t>de</w:t>
      </w:r>
      <w:r w:rsidR="007A5C88" w:rsidRPr="00D075D7">
        <w:rPr>
          <w:rFonts w:ascii="Lato Light" w:hAnsi="Lato Light"/>
          <w:highlight w:val="lightGray"/>
        </w:rPr>
        <w:t xml:space="preserve"> ...….</w:t>
      </w:r>
      <w:r w:rsidR="00FB78D2" w:rsidRPr="00D075D7">
        <w:rPr>
          <w:rFonts w:ascii="Lato Light" w:hAnsi="Lato Light"/>
          <w:highlight w:val="lightGray"/>
        </w:rPr>
        <w:t xml:space="preserve"> </w:t>
      </w:r>
      <w:r w:rsidR="00686371" w:rsidRPr="00D075D7">
        <w:rPr>
          <w:rFonts w:ascii="Lato Light" w:hAnsi="Lato Light"/>
        </w:rPr>
        <w:t xml:space="preserve"> inferior al 35% que fija el </w:t>
      </w:r>
      <w:r w:rsidR="00E23F70" w:rsidRPr="00D075D7">
        <w:rPr>
          <w:rFonts w:ascii="Lato Light" w:hAnsi="Lato Light"/>
        </w:rPr>
        <w:t xml:space="preserve">apartado a) del artículo 2 del </w:t>
      </w:r>
      <w:r w:rsidR="00686371" w:rsidRPr="00D075D7">
        <w:rPr>
          <w:rFonts w:ascii="Lato Light" w:hAnsi="Lato Light"/>
        </w:rPr>
        <w:t>Decreto Foral 90/2013, de 25 de junio, que desarrolla del artículo 3.4 de la Norma Foral 5/2013, de 12 de junio</w:t>
      </w:r>
      <w:r w:rsidR="00E0158A" w:rsidRPr="00D075D7">
        <w:rPr>
          <w:rFonts w:ascii="Lato Light" w:hAnsi="Lato Light"/>
        </w:rPr>
        <w:t xml:space="preserve"> y fija los criterios para la devolución anticipada de deuda</w:t>
      </w:r>
      <w:r w:rsidR="00686371" w:rsidRPr="00D075D7">
        <w:rPr>
          <w:rFonts w:ascii="Lato Light" w:hAnsi="Lato Light"/>
        </w:rPr>
        <w:t>.</w:t>
      </w:r>
      <w:r w:rsidR="00E23F70" w:rsidRPr="00D075D7">
        <w:rPr>
          <w:rFonts w:ascii="Lato Light" w:hAnsi="Lato Light"/>
        </w:rPr>
        <w:t xml:space="preserve"> </w:t>
      </w:r>
    </w:p>
    <w:p w14:paraId="26EFD310" w14:textId="77777777" w:rsidR="00FB5E9E" w:rsidRPr="00D075D7" w:rsidRDefault="00FB5E9E" w:rsidP="00FB5E9E">
      <w:pPr>
        <w:numPr>
          <w:ilvl w:val="0"/>
          <w:numId w:val="1"/>
        </w:numPr>
        <w:jc w:val="both"/>
        <w:rPr>
          <w:rFonts w:ascii="Lato Light" w:hAnsi="Lato Light"/>
        </w:rPr>
      </w:pPr>
      <w:r w:rsidRPr="00D075D7">
        <w:rPr>
          <w:rFonts w:ascii="Lato Light" w:hAnsi="Lato Light"/>
        </w:rPr>
        <w:t>El ayuntamiento cumple los plazos de pago a proveedores establecidos en la normativa vigente</w:t>
      </w:r>
      <w:r w:rsidR="00EE5723" w:rsidRPr="00D075D7">
        <w:rPr>
          <w:rFonts w:ascii="Lato Light" w:hAnsi="Lato Light"/>
        </w:rPr>
        <w:t xml:space="preserve"> y, a la vista del Plan de Tesorería </w:t>
      </w:r>
      <w:r w:rsidR="00AC02E3" w:rsidRPr="00D075D7">
        <w:rPr>
          <w:rFonts w:ascii="Lato Light" w:hAnsi="Lato Light"/>
        </w:rPr>
        <w:t>con que cuenta</w:t>
      </w:r>
      <w:r w:rsidR="00EE5723" w:rsidRPr="00D075D7">
        <w:rPr>
          <w:rFonts w:ascii="Lato Light" w:hAnsi="Lato Light"/>
        </w:rPr>
        <w:t>, la presente modificación presupuestaria no impedirá incumplimientos futuros</w:t>
      </w:r>
      <w:r w:rsidRPr="00D075D7">
        <w:rPr>
          <w:rFonts w:ascii="Lato Light" w:hAnsi="Lato Light"/>
        </w:rPr>
        <w:t>.</w:t>
      </w:r>
    </w:p>
    <w:p w14:paraId="5980DF88" w14:textId="77777777" w:rsidR="004E2E60" w:rsidRPr="00D075D7" w:rsidRDefault="004E2E60" w:rsidP="004E2E60">
      <w:pPr>
        <w:numPr>
          <w:ilvl w:val="0"/>
          <w:numId w:val="1"/>
        </w:numPr>
        <w:spacing w:before="240"/>
        <w:jc w:val="both"/>
        <w:rPr>
          <w:rFonts w:ascii="Lato Light" w:hAnsi="Lato Light"/>
        </w:rPr>
      </w:pPr>
      <w:r w:rsidRPr="00D075D7">
        <w:rPr>
          <w:rFonts w:ascii="Lato Light" w:hAnsi="Lato Light"/>
        </w:rPr>
        <w:t xml:space="preserve">Que se ha liquidado el presupuesto del ejercicio anterior con remanente de tesorería para gastos generales y ahorro neto positivo. </w:t>
      </w:r>
    </w:p>
    <w:p w14:paraId="400C52A0" w14:textId="77777777" w:rsidR="004E2E60" w:rsidRPr="00D075D7" w:rsidRDefault="004E2E60" w:rsidP="004E2E60">
      <w:pPr>
        <w:spacing w:before="240"/>
        <w:ind w:left="720"/>
        <w:jc w:val="both"/>
        <w:rPr>
          <w:rFonts w:ascii="Lato Light" w:hAnsi="Lato Light"/>
        </w:rPr>
      </w:pPr>
      <w:r w:rsidRPr="00D075D7">
        <w:rPr>
          <w:rFonts w:ascii="Lato Light" w:hAnsi="Lato Light"/>
        </w:rPr>
        <w:t>RTA PARA GASTOS GENERALES</w:t>
      </w:r>
      <w:r w:rsidR="00AD0143" w:rsidRPr="00D075D7">
        <w:rPr>
          <w:rFonts w:ascii="Lato Light" w:hAnsi="Lato Light"/>
        </w:rPr>
        <w:t xml:space="preserve"> 20</w:t>
      </w:r>
      <w:r w:rsidR="00730E0D" w:rsidRPr="00D075D7">
        <w:rPr>
          <w:rFonts w:ascii="Lato Light" w:hAnsi="Lato Light"/>
        </w:rPr>
        <w:t>2</w:t>
      </w:r>
      <w:r w:rsidR="00E62DC4" w:rsidRPr="00D075D7">
        <w:rPr>
          <w:rFonts w:ascii="Lato Light" w:hAnsi="Lato Light"/>
        </w:rPr>
        <w:t>X-1</w:t>
      </w:r>
      <w:r w:rsidRPr="00D075D7">
        <w:rPr>
          <w:rFonts w:ascii="Lato Light" w:hAnsi="Lato Light"/>
          <w:highlight w:val="lightGray"/>
        </w:rPr>
        <w:t>: Importe total</w:t>
      </w:r>
    </w:p>
    <w:p w14:paraId="33CAA562" w14:textId="77777777" w:rsidR="003D0772" w:rsidRPr="00D075D7" w:rsidRDefault="004E2E60" w:rsidP="003D0772">
      <w:pPr>
        <w:spacing w:before="240"/>
        <w:ind w:left="720"/>
        <w:jc w:val="both"/>
        <w:rPr>
          <w:rFonts w:ascii="Lato Light" w:hAnsi="Lato Light"/>
        </w:rPr>
      </w:pPr>
      <w:r w:rsidRPr="00D075D7">
        <w:rPr>
          <w:rFonts w:ascii="Lato Light" w:hAnsi="Lato Light"/>
        </w:rPr>
        <w:lastRenderedPageBreak/>
        <w:t>AHORRO NETO</w:t>
      </w:r>
      <w:r w:rsidR="00AD0143" w:rsidRPr="00D075D7">
        <w:rPr>
          <w:rFonts w:ascii="Lato Light" w:hAnsi="Lato Light"/>
        </w:rPr>
        <w:t xml:space="preserve"> 20</w:t>
      </w:r>
      <w:r w:rsidR="00730E0D" w:rsidRPr="00D075D7">
        <w:rPr>
          <w:rFonts w:ascii="Lato Light" w:hAnsi="Lato Light"/>
        </w:rPr>
        <w:t>2</w:t>
      </w:r>
      <w:r w:rsidR="00E62DC4" w:rsidRPr="00D075D7">
        <w:rPr>
          <w:rFonts w:ascii="Lato Light" w:hAnsi="Lato Light"/>
        </w:rPr>
        <w:t>X-1</w:t>
      </w:r>
      <w:r w:rsidRPr="00D075D7">
        <w:rPr>
          <w:rFonts w:ascii="Lato Light" w:hAnsi="Lato Light"/>
        </w:rPr>
        <w:t xml:space="preserve">: </w:t>
      </w:r>
      <w:r w:rsidRPr="00D075D7">
        <w:rPr>
          <w:rFonts w:ascii="Lato Light" w:hAnsi="Lato Light"/>
          <w:highlight w:val="lightGray"/>
        </w:rPr>
        <w:t>Importe total</w:t>
      </w:r>
    </w:p>
    <w:p w14:paraId="0037719A" w14:textId="77777777" w:rsidR="004E2E60" w:rsidRPr="00D075D7" w:rsidRDefault="004E2E60" w:rsidP="003D0772">
      <w:pPr>
        <w:spacing w:before="240"/>
        <w:jc w:val="both"/>
        <w:rPr>
          <w:rFonts w:ascii="Lato Light" w:hAnsi="Lato Light"/>
          <w:i/>
          <w:sz w:val="20"/>
          <w:szCs w:val="20"/>
        </w:rPr>
      </w:pPr>
      <w:r w:rsidRPr="00D075D7">
        <w:rPr>
          <w:rFonts w:ascii="Lato Light" w:hAnsi="Lato Light"/>
          <w:i/>
          <w:sz w:val="20"/>
          <w:szCs w:val="20"/>
        </w:rPr>
        <w:t>El ahorro neto viene definido en el artículo 55 de la Norma Foral 9/2005, de 16 de diciembre, de Haciendas Locales, que establece que “se entenderá por ahorro neto de las Entidades Locales y sus organismos autónomos la diferencia entre los derechos liquidados por los capítulos uno a cinco, ambos inclusive, del estado de ingresos, y de las obligaciones reconocidas por los capítulos uno, dos y cuatro del estado de gastos, minorada en el importe de una anualidad teórica de amortización de la operación proyectada y de cada uno de los préstamos y empréstitos propios y avalados a terceros pendientes de reembolso. El importe de la anualidad teórica de amortización, de cada uno de los préstamos a largo plazo concertados y de los avalados por la corporación pendientes de reembolso, así como la de la operación proyectada, se determinará en todo caso, en términos constantes, incluyendo los intereses y la cuota anual de amortización, cualquiera que sea la modalidad y condiciones de cada operación. Se considera ahorro neto en las entidades públicas.</w:t>
      </w:r>
    </w:p>
    <w:p w14:paraId="6A0DE1FB" w14:textId="77777777" w:rsidR="006D3FA9" w:rsidRPr="00D075D7" w:rsidRDefault="006D3FA9" w:rsidP="00CD76EA">
      <w:pPr>
        <w:spacing w:after="0"/>
        <w:jc w:val="both"/>
        <w:rPr>
          <w:rFonts w:ascii="Lato Light" w:hAnsi="Lato Light"/>
          <w:i/>
          <w:sz w:val="20"/>
          <w:szCs w:val="20"/>
        </w:rPr>
      </w:pPr>
      <w:r w:rsidRPr="00D075D7">
        <w:rPr>
          <w:rFonts w:ascii="Lato Light" w:hAnsi="Lato Light"/>
          <w:i/>
          <w:sz w:val="20"/>
          <w:szCs w:val="20"/>
        </w:rPr>
        <w:t>En el ahorro neto no se incluirán las obligaciones reconocidas, derivadas de modificaciones de créditos, que hayan sido financiadas con remanente líquido de tesorería.</w:t>
      </w:r>
      <w:r w:rsidR="00CD76EA" w:rsidRPr="00D075D7">
        <w:rPr>
          <w:rFonts w:ascii="Lato Light" w:hAnsi="Lato Light"/>
          <w:i/>
          <w:sz w:val="20"/>
          <w:szCs w:val="20"/>
        </w:rPr>
        <w:t xml:space="preserve"> </w:t>
      </w:r>
    </w:p>
    <w:p w14:paraId="31A34D80" w14:textId="77777777" w:rsidR="00E62DC4" w:rsidRPr="00D075D7" w:rsidRDefault="000F041A" w:rsidP="00E62DC4">
      <w:pPr>
        <w:numPr>
          <w:ilvl w:val="0"/>
          <w:numId w:val="1"/>
        </w:numPr>
        <w:spacing w:before="240"/>
        <w:ind w:right="47"/>
        <w:jc w:val="both"/>
        <w:rPr>
          <w:rFonts w:ascii="Lato Light" w:hAnsi="Lato Light"/>
        </w:rPr>
      </w:pPr>
      <w:r w:rsidRPr="00D075D7">
        <w:rPr>
          <w:rFonts w:ascii="Lato Light" w:hAnsi="Lato Light"/>
        </w:rPr>
        <w:t>El ayuntamiento cumple el objetivo de deuda fijado.</w:t>
      </w:r>
    </w:p>
    <w:p w14:paraId="60E0FE44" w14:textId="77777777" w:rsidR="004E2E60" w:rsidRPr="00D075D7" w:rsidRDefault="004E2E60" w:rsidP="00E62DC4">
      <w:pPr>
        <w:spacing w:before="240"/>
        <w:ind w:right="47"/>
        <w:jc w:val="both"/>
        <w:rPr>
          <w:rFonts w:ascii="Lato Light" w:hAnsi="Lato Light"/>
        </w:rPr>
      </w:pPr>
      <w:r w:rsidRPr="00D075D7">
        <w:rPr>
          <w:rFonts w:ascii="Lato Light" w:hAnsi="Lato Light"/>
        </w:rPr>
        <w:t>Dado que el gasto a financiar por la presente modificación de crédito no altera la sostenibilidad del Ayuntamiento ni a corto ni a largo plazo, en cuanto que los gastos que se financian</w:t>
      </w:r>
      <w:r w:rsidR="00762BF4" w:rsidRPr="00D075D7">
        <w:rPr>
          <w:rFonts w:ascii="Lato Light" w:hAnsi="Lato Light"/>
        </w:rPr>
        <w:t xml:space="preserve"> son sostenibles, por no generar</w:t>
      </w:r>
      <w:r w:rsidRPr="00D075D7">
        <w:rPr>
          <w:rFonts w:ascii="Lato Light" w:hAnsi="Lato Light"/>
        </w:rPr>
        <w:t xml:space="preserve"> a futuro nuevos costes puede afirmarse que se no compromete la sostenibilidad financiera futura del ayuntamiento</w:t>
      </w:r>
      <w:r w:rsidR="006017D2" w:rsidRPr="00D075D7">
        <w:rPr>
          <w:rFonts w:ascii="Lato Light" w:hAnsi="Lato Light"/>
        </w:rPr>
        <w:t>.</w:t>
      </w:r>
    </w:p>
    <w:p w14:paraId="32875D95" w14:textId="77777777" w:rsidR="00C71757" w:rsidRPr="00D075D7" w:rsidRDefault="004E2E60" w:rsidP="00B3377C">
      <w:pPr>
        <w:spacing w:before="240"/>
        <w:ind w:right="47"/>
        <w:jc w:val="both"/>
        <w:rPr>
          <w:rFonts w:ascii="Lato Light" w:hAnsi="Lato Light"/>
        </w:rPr>
      </w:pPr>
      <w:r w:rsidRPr="00D075D7">
        <w:rPr>
          <w:rFonts w:ascii="Lato Light" w:hAnsi="Lato Light"/>
          <w:b/>
          <w:bCs/>
        </w:rPr>
        <w:t>CONCLUSIÓN:</w:t>
      </w:r>
      <w:r w:rsidRPr="00D075D7">
        <w:rPr>
          <w:rFonts w:ascii="Lato Light" w:hAnsi="Lato Light"/>
        </w:rPr>
        <w:t xml:space="preserve"> </w:t>
      </w:r>
      <w:r w:rsidR="00E07461" w:rsidRPr="00D075D7">
        <w:rPr>
          <w:rFonts w:ascii="Lato Light" w:hAnsi="Lato Light"/>
        </w:rPr>
        <w:t xml:space="preserve">Se puede concluir que la presente modificación presupuestaria no compromete la sostenibilidad financiera </w:t>
      </w:r>
      <w:r w:rsidR="00E07461" w:rsidRPr="00D075D7">
        <w:rPr>
          <w:rFonts w:ascii="Lato Light" w:hAnsi="Lato Light"/>
          <w:highlight w:val="lightGray"/>
        </w:rPr>
        <w:t>del ayuntamiento</w:t>
      </w:r>
      <w:r w:rsidR="00E0158A" w:rsidRPr="00D075D7">
        <w:rPr>
          <w:rFonts w:ascii="Lato Light" w:hAnsi="Lato Light"/>
          <w:highlight w:val="lightGray"/>
        </w:rPr>
        <w:t xml:space="preserve"> </w:t>
      </w:r>
      <w:r w:rsidR="007A5C88" w:rsidRPr="00D075D7">
        <w:rPr>
          <w:rFonts w:ascii="Lato Light" w:hAnsi="Lato Light"/>
          <w:highlight w:val="lightGray"/>
        </w:rPr>
        <w:t>…………</w:t>
      </w:r>
      <w:proofErr w:type="gramStart"/>
      <w:r w:rsidR="007A5C88" w:rsidRPr="00D075D7">
        <w:rPr>
          <w:rFonts w:ascii="Lato Light" w:hAnsi="Lato Light"/>
          <w:highlight w:val="lightGray"/>
        </w:rPr>
        <w:t>…….</w:t>
      </w:r>
      <w:proofErr w:type="gramEnd"/>
      <w:r w:rsidR="007A5C88" w:rsidRPr="00D075D7">
        <w:rPr>
          <w:rFonts w:ascii="Lato Light" w:hAnsi="Lato Light"/>
          <w:highlight w:val="lightGray"/>
        </w:rPr>
        <w:t>.</w:t>
      </w:r>
      <w:r w:rsidR="00E07461" w:rsidRPr="00D075D7">
        <w:rPr>
          <w:rFonts w:ascii="Lato Light" w:hAnsi="Lato Light"/>
        </w:rPr>
        <w:t xml:space="preserve"> en los términos establec</w:t>
      </w:r>
      <w:r w:rsidR="006D1C2C" w:rsidRPr="00D075D7">
        <w:rPr>
          <w:rFonts w:ascii="Lato Light" w:hAnsi="Lato Light"/>
        </w:rPr>
        <w:t xml:space="preserve">idos por la </w:t>
      </w:r>
      <w:r w:rsidR="00E0158A" w:rsidRPr="00D075D7">
        <w:rPr>
          <w:rFonts w:ascii="Lato Light" w:hAnsi="Lato Light"/>
        </w:rPr>
        <w:t>Norma Foral</w:t>
      </w:r>
      <w:r w:rsidR="006D1C2C" w:rsidRPr="00D075D7">
        <w:rPr>
          <w:rFonts w:ascii="Lato Light" w:hAnsi="Lato Light"/>
        </w:rPr>
        <w:t xml:space="preserve"> </w:t>
      </w:r>
      <w:r w:rsidR="004860D4" w:rsidRPr="00D075D7">
        <w:rPr>
          <w:rFonts w:ascii="Lato Light" w:hAnsi="Lato Light"/>
        </w:rPr>
        <w:t>5</w:t>
      </w:r>
      <w:r w:rsidR="006D1C2C" w:rsidRPr="00D075D7">
        <w:rPr>
          <w:rFonts w:ascii="Lato Light" w:hAnsi="Lato Light"/>
        </w:rPr>
        <w:t xml:space="preserve">/2013, de </w:t>
      </w:r>
      <w:r w:rsidR="004860D4" w:rsidRPr="00D075D7">
        <w:rPr>
          <w:rFonts w:ascii="Lato Light" w:hAnsi="Lato Light"/>
        </w:rPr>
        <w:t>12</w:t>
      </w:r>
      <w:r w:rsidR="006D1C2C" w:rsidRPr="00D075D7">
        <w:rPr>
          <w:rFonts w:ascii="Lato Light" w:hAnsi="Lato Light"/>
        </w:rPr>
        <w:t xml:space="preserve"> de diciembre.</w:t>
      </w:r>
    </w:p>
    <w:p w14:paraId="0E1DDFAB" w14:textId="77777777" w:rsidR="00DB4B47" w:rsidRPr="00D075D7" w:rsidRDefault="00DB4B47" w:rsidP="00E07461">
      <w:pPr>
        <w:jc w:val="both"/>
        <w:rPr>
          <w:rFonts w:ascii="Lato Light" w:hAnsi="Lato Light"/>
        </w:rPr>
      </w:pPr>
    </w:p>
    <w:p w14:paraId="2B1A61FD" w14:textId="77777777" w:rsidR="00DB4B47" w:rsidRPr="00D075D7" w:rsidRDefault="00D55598" w:rsidP="0068342D">
      <w:pPr>
        <w:jc w:val="center"/>
        <w:rPr>
          <w:rFonts w:ascii="Lato Light" w:hAnsi="Lato Light"/>
        </w:rPr>
      </w:pPr>
      <w:r w:rsidRPr="00D075D7">
        <w:rPr>
          <w:rFonts w:ascii="Lato Light" w:hAnsi="Lato Light"/>
          <w:highlight w:val="lightGray"/>
        </w:rPr>
        <w:t>En</w:t>
      </w:r>
      <w:r w:rsidR="001F3C50" w:rsidRPr="00D075D7">
        <w:rPr>
          <w:rFonts w:ascii="Lato Light" w:hAnsi="Lato Light"/>
          <w:highlight w:val="lightGray"/>
        </w:rPr>
        <w:t xml:space="preserve">            </w:t>
      </w:r>
      <w:proofErr w:type="gramStart"/>
      <w:r w:rsidR="001F3C50" w:rsidRPr="00D075D7">
        <w:rPr>
          <w:rFonts w:ascii="Lato Light" w:hAnsi="Lato Light"/>
          <w:highlight w:val="lightGray"/>
        </w:rPr>
        <w:t xml:space="preserve">  </w:t>
      </w:r>
      <w:r w:rsidRPr="00D075D7">
        <w:rPr>
          <w:rFonts w:ascii="Lato Light" w:hAnsi="Lato Light"/>
          <w:highlight w:val="lightGray"/>
        </w:rPr>
        <w:t>,</w:t>
      </w:r>
      <w:proofErr w:type="gramEnd"/>
      <w:r w:rsidRPr="00D075D7">
        <w:rPr>
          <w:rFonts w:ascii="Lato Light" w:hAnsi="Lato Light"/>
          <w:highlight w:val="lightGray"/>
        </w:rPr>
        <w:t xml:space="preserve"> a </w:t>
      </w:r>
      <w:r w:rsidR="001F3C50" w:rsidRPr="00D075D7">
        <w:rPr>
          <w:rFonts w:ascii="Lato Light" w:hAnsi="Lato Light"/>
          <w:highlight w:val="lightGray"/>
        </w:rPr>
        <w:t xml:space="preserve">          </w:t>
      </w:r>
      <w:r w:rsidRPr="00D075D7">
        <w:rPr>
          <w:rFonts w:ascii="Lato Light" w:hAnsi="Lato Light"/>
          <w:highlight w:val="lightGray"/>
        </w:rPr>
        <w:t xml:space="preserve"> de</w:t>
      </w:r>
      <w:r w:rsidR="001F3C50" w:rsidRPr="00D075D7">
        <w:rPr>
          <w:rFonts w:ascii="Lato Light" w:hAnsi="Lato Light"/>
          <w:highlight w:val="lightGray"/>
        </w:rPr>
        <w:t xml:space="preserve">                    </w:t>
      </w:r>
      <w:r w:rsidRPr="00D075D7">
        <w:rPr>
          <w:rFonts w:ascii="Lato Light" w:hAnsi="Lato Light"/>
          <w:highlight w:val="lightGray"/>
        </w:rPr>
        <w:t xml:space="preserve"> </w:t>
      </w:r>
      <w:r w:rsidR="004860D4" w:rsidRPr="00D075D7">
        <w:rPr>
          <w:rFonts w:ascii="Lato Light" w:hAnsi="Lato Light"/>
          <w:highlight w:val="lightGray"/>
        </w:rPr>
        <w:t>de 20</w:t>
      </w:r>
      <w:r w:rsidR="004E2E60" w:rsidRPr="00D075D7">
        <w:rPr>
          <w:rFonts w:ascii="Lato Light" w:hAnsi="Lato Light"/>
          <w:highlight w:val="lightGray"/>
        </w:rPr>
        <w:t>2x</w:t>
      </w:r>
    </w:p>
    <w:p w14:paraId="2E2DE999" w14:textId="77777777" w:rsidR="00A54685" w:rsidRPr="00D075D7" w:rsidRDefault="00A54685" w:rsidP="00D55598">
      <w:pPr>
        <w:jc w:val="center"/>
        <w:rPr>
          <w:rFonts w:ascii="Lato Light" w:hAnsi="Lato Light"/>
        </w:rPr>
      </w:pPr>
    </w:p>
    <w:p w14:paraId="32675F62" w14:textId="77777777" w:rsidR="00A54685" w:rsidRPr="00D075D7" w:rsidRDefault="00A54685" w:rsidP="00D55598">
      <w:pPr>
        <w:jc w:val="center"/>
        <w:rPr>
          <w:rFonts w:ascii="Lato Light" w:hAnsi="Lato Light"/>
        </w:rPr>
      </w:pPr>
    </w:p>
    <w:p w14:paraId="42C31369" w14:textId="77777777" w:rsidR="00A54685" w:rsidRPr="00D075D7" w:rsidRDefault="00A54685" w:rsidP="00D55598">
      <w:pPr>
        <w:jc w:val="center"/>
        <w:rPr>
          <w:rFonts w:ascii="Lato Light" w:hAnsi="Lato Light"/>
        </w:rPr>
      </w:pPr>
    </w:p>
    <w:p w14:paraId="50CC70B2" w14:textId="77777777" w:rsidR="00A54685" w:rsidRPr="00D075D7" w:rsidRDefault="00A54685" w:rsidP="00D55598">
      <w:pPr>
        <w:jc w:val="center"/>
        <w:rPr>
          <w:rFonts w:ascii="Lato Light" w:hAnsi="Lato Light"/>
        </w:rPr>
      </w:pPr>
    </w:p>
    <w:p w14:paraId="4E0C366D" w14:textId="77777777" w:rsidR="00DB4B47" w:rsidRPr="00D075D7" w:rsidRDefault="00DB4B47" w:rsidP="00D55598">
      <w:pPr>
        <w:jc w:val="center"/>
        <w:rPr>
          <w:rFonts w:ascii="Lato Light" w:hAnsi="Lato Light"/>
        </w:rPr>
      </w:pPr>
      <w:r w:rsidRPr="00D075D7">
        <w:rPr>
          <w:rFonts w:ascii="Lato Light" w:hAnsi="Lato Light"/>
          <w:highlight w:val="lightGray"/>
        </w:rPr>
        <w:t xml:space="preserve">El/la </w:t>
      </w:r>
      <w:proofErr w:type="gramStart"/>
      <w:r w:rsidRPr="00D075D7">
        <w:rPr>
          <w:rFonts w:ascii="Lato Light" w:hAnsi="Lato Light"/>
          <w:highlight w:val="lightGray"/>
        </w:rPr>
        <w:t>Secretario</w:t>
      </w:r>
      <w:proofErr w:type="gramEnd"/>
      <w:r w:rsidRPr="00D075D7">
        <w:rPr>
          <w:rFonts w:ascii="Lato Light" w:hAnsi="Lato Light"/>
          <w:highlight w:val="lightGray"/>
        </w:rPr>
        <w:t>/Interventor</w:t>
      </w:r>
    </w:p>
    <w:sectPr w:rsidR="00DB4B47" w:rsidRPr="00D075D7" w:rsidSect="00D55598">
      <w:pgSz w:w="11906" w:h="16838"/>
      <w:pgMar w:top="1701" w:right="1474" w:bottom="1701" w:left="147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A0862" w14:textId="77777777" w:rsidR="00DA1777" w:rsidRDefault="00DA1777">
      <w:pPr>
        <w:spacing w:after="0" w:line="240" w:lineRule="auto"/>
      </w:pPr>
      <w:r>
        <w:separator/>
      </w:r>
    </w:p>
  </w:endnote>
  <w:endnote w:type="continuationSeparator" w:id="0">
    <w:p w14:paraId="7AEF375D" w14:textId="77777777" w:rsidR="00DA1777" w:rsidRDefault="00DA1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panose1 w:val="020B0603020202030204"/>
    <w:charset w:val="00"/>
    <w:family w:val="swiss"/>
    <w:pitch w:val="variable"/>
    <w:sig w:usb0="00000007" w:usb1="00000000" w:usb2="00000000" w:usb3="00000000" w:csb0="00000093" w:csb1="00000000"/>
  </w:font>
  <w:font w:name="Lato Light">
    <w:panose1 w:val="020F0302020204030203"/>
    <w:charset w:val="00"/>
    <w:family w:val="swiss"/>
    <w:pitch w:val="variable"/>
    <w:sig w:usb0="A00002AF" w:usb1="50006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08645" w14:textId="77777777" w:rsidR="00DA1777" w:rsidRDefault="00DA1777">
      <w:pPr>
        <w:spacing w:after="0" w:line="240" w:lineRule="auto"/>
      </w:pPr>
      <w:r>
        <w:separator/>
      </w:r>
    </w:p>
  </w:footnote>
  <w:footnote w:type="continuationSeparator" w:id="0">
    <w:p w14:paraId="1CB5F051" w14:textId="77777777" w:rsidR="00DA1777" w:rsidRDefault="00DA1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70D7A"/>
    <w:multiLevelType w:val="hybridMultilevel"/>
    <w:tmpl w:val="FFFFFFFF"/>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16cid:durableId="346447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205"/>
    <w:rsid w:val="000B44DF"/>
    <w:rsid w:val="000E3D88"/>
    <w:rsid w:val="000F041A"/>
    <w:rsid w:val="00156A3B"/>
    <w:rsid w:val="00156C87"/>
    <w:rsid w:val="00161D5E"/>
    <w:rsid w:val="001F3415"/>
    <w:rsid w:val="001F3C50"/>
    <w:rsid w:val="002038C7"/>
    <w:rsid w:val="00204667"/>
    <w:rsid w:val="0021176F"/>
    <w:rsid w:val="00253CCC"/>
    <w:rsid w:val="00282205"/>
    <w:rsid w:val="002920F6"/>
    <w:rsid w:val="002B2001"/>
    <w:rsid w:val="002D6C67"/>
    <w:rsid w:val="00300600"/>
    <w:rsid w:val="00327497"/>
    <w:rsid w:val="003473A4"/>
    <w:rsid w:val="00381C9F"/>
    <w:rsid w:val="003D0772"/>
    <w:rsid w:val="003F2FF5"/>
    <w:rsid w:val="00406EED"/>
    <w:rsid w:val="00416460"/>
    <w:rsid w:val="004860D4"/>
    <w:rsid w:val="004D5084"/>
    <w:rsid w:val="004E2E60"/>
    <w:rsid w:val="004E37E7"/>
    <w:rsid w:val="004E4393"/>
    <w:rsid w:val="005250F7"/>
    <w:rsid w:val="005D0058"/>
    <w:rsid w:val="005E3954"/>
    <w:rsid w:val="005F7922"/>
    <w:rsid w:val="006017D2"/>
    <w:rsid w:val="00623680"/>
    <w:rsid w:val="0068342D"/>
    <w:rsid w:val="00686371"/>
    <w:rsid w:val="006C15CA"/>
    <w:rsid w:val="006D1C2C"/>
    <w:rsid w:val="006D3FA9"/>
    <w:rsid w:val="006F4C49"/>
    <w:rsid w:val="0071158D"/>
    <w:rsid w:val="00730E0D"/>
    <w:rsid w:val="00732695"/>
    <w:rsid w:val="00752690"/>
    <w:rsid w:val="00762BF4"/>
    <w:rsid w:val="00795A8E"/>
    <w:rsid w:val="007A2418"/>
    <w:rsid w:val="007A5C88"/>
    <w:rsid w:val="007F7708"/>
    <w:rsid w:val="00802F0B"/>
    <w:rsid w:val="008B1A25"/>
    <w:rsid w:val="008C2773"/>
    <w:rsid w:val="0090412B"/>
    <w:rsid w:val="009448CC"/>
    <w:rsid w:val="009C4D2B"/>
    <w:rsid w:val="00A1443B"/>
    <w:rsid w:val="00A32ADC"/>
    <w:rsid w:val="00A3621C"/>
    <w:rsid w:val="00A537CF"/>
    <w:rsid w:val="00A54685"/>
    <w:rsid w:val="00AC02E3"/>
    <w:rsid w:val="00AC44BA"/>
    <w:rsid w:val="00AD0143"/>
    <w:rsid w:val="00AE2E29"/>
    <w:rsid w:val="00AF25CD"/>
    <w:rsid w:val="00B3377C"/>
    <w:rsid w:val="00B529F3"/>
    <w:rsid w:val="00C71757"/>
    <w:rsid w:val="00C86704"/>
    <w:rsid w:val="00CD76EA"/>
    <w:rsid w:val="00D075D7"/>
    <w:rsid w:val="00D266FA"/>
    <w:rsid w:val="00D55598"/>
    <w:rsid w:val="00DA1777"/>
    <w:rsid w:val="00DB4B47"/>
    <w:rsid w:val="00DF3674"/>
    <w:rsid w:val="00E0158A"/>
    <w:rsid w:val="00E07461"/>
    <w:rsid w:val="00E23F70"/>
    <w:rsid w:val="00E4086F"/>
    <w:rsid w:val="00E62DC4"/>
    <w:rsid w:val="00EB4BFE"/>
    <w:rsid w:val="00EC7774"/>
    <w:rsid w:val="00EE5723"/>
    <w:rsid w:val="00FB5E9E"/>
    <w:rsid w:val="00FB78D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FECCE5"/>
  <w14:defaultImageDpi w14:val="0"/>
  <w15:docId w15:val="{34B1A7B6-7D53-472A-BD41-A05C2DA57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cs="Times New Roman"/>
      <w:sz w:val="22"/>
      <w:szCs w:val="22"/>
      <w:lang w:eastAsia="en-US"/>
    </w:rPr>
  </w:style>
  <w:style w:type="paragraph" w:styleId="Ttulo1">
    <w:name w:val="heading 1"/>
    <w:basedOn w:val="Normal"/>
    <w:next w:val="Normal"/>
    <w:link w:val="Ttulo1Car"/>
    <w:uiPriority w:val="9"/>
    <w:qFormat/>
    <w:rsid w:val="00AD0143"/>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iPriority w:val="9"/>
    <w:qFormat/>
    <w:rsid w:val="004E2E60"/>
    <w:pPr>
      <w:keepNext/>
      <w:spacing w:after="0" w:line="240" w:lineRule="auto"/>
      <w:ind w:right="-285"/>
      <w:jc w:val="both"/>
      <w:outlineLvl w:val="1"/>
    </w:pPr>
    <w:rPr>
      <w:rFonts w:ascii="Univers" w:hAnsi="Univers"/>
      <w:i/>
      <w:sz w:val="26"/>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AD0143"/>
    <w:rPr>
      <w:rFonts w:ascii="Cambria" w:hAnsi="Cambria" w:cs="Times New Roman"/>
      <w:b/>
      <w:kern w:val="32"/>
      <w:sz w:val="32"/>
      <w:lang w:val="x-none" w:eastAsia="en-US"/>
    </w:rPr>
  </w:style>
  <w:style w:type="character" w:customStyle="1" w:styleId="Ttulo2Car">
    <w:name w:val="Título 2 Car"/>
    <w:basedOn w:val="Fuentedeprrafopredeter"/>
    <w:link w:val="Ttulo2"/>
    <w:uiPriority w:val="9"/>
    <w:locked/>
    <w:rsid w:val="004E2E60"/>
    <w:rPr>
      <w:rFonts w:ascii="Univers" w:hAnsi="Univers" w:cs="Times New Roman"/>
      <w:i/>
      <w:sz w:val="26"/>
      <w:lang w:val="es-ES_tradnl" w:eastAsia="x-none"/>
    </w:rPr>
  </w:style>
  <w:style w:type="table" w:styleId="Tablaconcuadrcula">
    <w:name w:val="Table Grid"/>
    <w:basedOn w:val="Tablanormal"/>
    <w:uiPriority w:val="59"/>
    <w:rsid w:val="0075269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6713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0</DocSecurity>
  <Lines>0</Lines>
  <Paragraphs>0</Paragraphs>
  <ScaleCrop>false</ScaleCrop>
  <Company>BFA/DFB</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cp:lastPrinted>2015-07-21T08:15:00Z</cp:lastPrinted>
  <cp:revision>2</cp:revision>
</cp:coreProperties>
</file>