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D4E45" w14:textId="77777777" w:rsidR="00E4086F" w:rsidRPr="00AD3586" w:rsidRDefault="00432FFA" w:rsidP="007A2418">
      <w:pPr>
        <w:jc w:val="center"/>
        <w:rPr>
          <w:rFonts w:ascii="Lato Light" w:hAnsi="Lato Light"/>
          <w:b/>
          <w:sz w:val="28"/>
          <w:szCs w:val="28"/>
          <w:u w:val="single"/>
        </w:rPr>
      </w:pPr>
      <w:r w:rsidRPr="00AD3586">
        <w:rPr>
          <w:rFonts w:ascii="Lato Light" w:hAnsi="Lato Light"/>
          <w:b/>
          <w:sz w:val="28"/>
          <w:u w:val="single"/>
        </w:rPr>
        <w:t xml:space="preserve">KONTU-HARTZAILETZAREN XX ZENBAKIKO TXOSTENA, </w:t>
      </w:r>
      <w:r w:rsidR="00642643" w:rsidRPr="00AD3586">
        <w:rPr>
          <w:rFonts w:ascii="Lato Light" w:hAnsi="Lato Light"/>
          <w:b/>
          <w:sz w:val="28"/>
          <w:u w:val="single"/>
        </w:rPr>
        <w:t xml:space="preserve"> </w:t>
      </w:r>
      <w:r w:rsidR="00642643" w:rsidRPr="00AD3586">
        <w:rPr>
          <w:rFonts w:ascii="Lato Light" w:hAnsi="Lato Light"/>
          <w:b/>
          <w:sz w:val="28"/>
          <w:highlight w:val="lightGray"/>
          <w:u w:val="single"/>
        </w:rPr>
        <w:t>XXX/ZXX</w:t>
      </w:r>
      <w:r w:rsidR="00642643" w:rsidRPr="00AD3586">
        <w:rPr>
          <w:rFonts w:ascii="Lato Light" w:hAnsi="Lato Light"/>
          <w:b/>
          <w:sz w:val="28"/>
          <w:u w:val="single"/>
        </w:rPr>
        <w:t xml:space="preserve"> KREDITU ALDAKETAREN </w:t>
      </w:r>
      <w:r w:rsidRPr="00AD3586">
        <w:rPr>
          <w:rFonts w:ascii="Lato Light" w:hAnsi="Lato Light"/>
          <w:b/>
          <w:sz w:val="28"/>
          <w:u w:val="single"/>
        </w:rPr>
        <w:t>FINANTZA-IRAUNKORTASUNARI BURUZKOA</w:t>
      </w:r>
    </w:p>
    <w:p w14:paraId="4E0070A7" w14:textId="77777777" w:rsidR="00AD0143" w:rsidRPr="00AD3586" w:rsidRDefault="00432FFA" w:rsidP="00AD0143">
      <w:pPr>
        <w:spacing w:before="480"/>
        <w:jc w:val="both"/>
        <w:rPr>
          <w:rFonts w:ascii="Lato Light" w:hAnsi="Lato Light"/>
        </w:rPr>
      </w:pPr>
      <w:r w:rsidRPr="00AD3586">
        <w:rPr>
          <w:rFonts w:ascii="Lato Light" w:hAnsi="Lato Light"/>
        </w:rPr>
        <w:t>GAIA: Finantza-iraunkortasunari buruzko txostena, gastu orokorretarako diruzaintzako gerakina 202</w:t>
      </w:r>
      <w:r w:rsidR="00AB73A6" w:rsidRPr="00AD3586">
        <w:rPr>
          <w:rFonts w:ascii="Lato Light" w:hAnsi="Lato Light"/>
        </w:rPr>
        <w:t>X</w:t>
      </w:r>
      <w:r w:rsidRPr="00AD3586">
        <w:rPr>
          <w:rFonts w:ascii="Lato Light" w:hAnsi="Lato Light"/>
        </w:rPr>
        <w:t>eko aldian erabiltzeari buruzkoa (lehen hiruhilekoa, bigarren hiruhilekoa, ekitaldi osoa …). Gerakin hori 202</w:t>
      </w:r>
      <w:r w:rsidR="00AB73A6" w:rsidRPr="00AD3586">
        <w:rPr>
          <w:rFonts w:ascii="Lato Light" w:hAnsi="Lato Light"/>
        </w:rPr>
        <w:t>X-1</w:t>
      </w:r>
      <w:r w:rsidRPr="00AD3586">
        <w:rPr>
          <w:rFonts w:ascii="Lato Light" w:hAnsi="Lato Light"/>
        </w:rPr>
        <w:t>ko udal aurrekontuaren likidazioan lortu zen, aurrekontu-aldaketak finantzatzeko.</w:t>
      </w:r>
    </w:p>
    <w:p w14:paraId="01EE8A5E" w14:textId="77777777" w:rsidR="00AD0143" w:rsidRPr="00AD3586" w:rsidRDefault="00432FFA" w:rsidP="00AD0143">
      <w:pPr>
        <w:spacing w:before="480"/>
        <w:jc w:val="both"/>
        <w:rPr>
          <w:rFonts w:ascii="Lato Light" w:hAnsi="Lato Light"/>
        </w:rPr>
      </w:pPr>
      <w:r w:rsidRPr="00AD3586">
        <w:rPr>
          <w:rFonts w:ascii="Lato Light" w:hAnsi="Lato Light"/>
        </w:rPr>
        <w:t>Txosten hau emateko, kontuan hartu dira, batetik, Bizkaiko Toki-Erakundeen aurrekontu-egonkortasunari eta finantza-iraunkortasunari buruzko ekainaren 12ko 5/2013 Foru Arauaren 6. artikuluko 5. atalean xedatutakoa, eta, bestetik, gastu orokorretarako diruzaintzako gerakinekin finantzatutako aurrekontu-aldaketako espedienteak, zeinak berriki izapidetu diren. Espediente horien berri eman zaio osoko bilkurari txosten hau aurkezten den bilkuran bertan.</w:t>
      </w:r>
    </w:p>
    <w:p w14:paraId="373EE781" w14:textId="77777777" w:rsidR="00282205" w:rsidRPr="00AD3586" w:rsidRDefault="00432FFA" w:rsidP="00AD0143">
      <w:pPr>
        <w:spacing w:before="480"/>
        <w:jc w:val="both"/>
        <w:rPr>
          <w:rFonts w:ascii="Lato Light" w:hAnsi="Lato Light"/>
        </w:rPr>
      </w:pPr>
      <w:r w:rsidRPr="00AD3586">
        <w:rPr>
          <w:rFonts w:ascii="Lato Light" w:hAnsi="Lato Light"/>
        </w:rPr>
        <w:t>Bizkaiko Toki-Erakundeen aurrekontu-egonkortasunari eta finantza-iraunkortasunari buruzko ekainaren 12ko 5/2013 Foru Arauaren 4. artikuluaren arabera, finantza-iraunkortasuna hau dela ulertuko da:  « oraingo eta etorkizuneko gastu-konpromisoak finantzatzeko ahalmena, defizitaren, zor publikoaren eta zor komertzialaren berankortasunaren mugen barruan eta indarrean dagoen araudian ezarritakoaren arabera ».</w:t>
      </w:r>
    </w:p>
    <w:p w14:paraId="034411EB" w14:textId="77777777" w:rsidR="005F7922" w:rsidRPr="00AD3586" w:rsidRDefault="00432FFA" w:rsidP="005F7922">
      <w:pPr>
        <w:spacing w:before="240"/>
        <w:jc w:val="both"/>
        <w:rPr>
          <w:rFonts w:ascii="Lato Light" w:hAnsi="Lato Light"/>
        </w:rPr>
      </w:pPr>
      <w:r w:rsidRPr="00AD3586">
        <w:rPr>
          <w:rFonts w:ascii="Lato Light" w:hAnsi="Lato Light"/>
        </w:rPr>
        <w:t xml:space="preserve">Bestalde, ekainaren 12ko 5/2013 Foru Arauaren 6.5. artikuluaren arabera: « Toki-erakunde batek zor publikoko helburua betetzen badu, baina ez badu betetzen edo egonkortasuneko helburua edo gastu-araua, diruzaintzako geldikinarekin finantzatu dituelako erakundearen finantza-iraunkortasuna arriskuan jartzen ez duten gastuak, bada, erakunde horrek, beti ere aurrekontua aurrezki garbi positiboarekin likidatzen badu, 3. artikuluko 4. zenbakian zehaztutakoaren kalterik gabe, kontu-hartzailetzako eginkizunak betetzen dituen organoaren txosten batekin ordezkatu ahal izango du plan ekonomiko-finantzarioa, eta txostenaren berri eman behar zaio beti Osoko Bilkurari . </w:t>
      </w:r>
    </w:p>
    <w:p w14:paraId="65700483" w14:textId="77777777" w:rsidR="005F7922" w:rsidRPr="00AD3586" w:rsidRDefault="00432FFA" w:rsidP="005F7922">
      <w:pPr>
        <w:spacing w:before="240"/>
        <w:jc w:val="both"/>
        <w:rPr>
          <w:rFonts w:ascii="Lato Light" w:hAnsi="Lato Light"/>
        </w:rPr>
      </w:pPr>
      <w:r w:rsidRPr="00AD3586">
        <w:rPr>
          <w:rFonts w:ascii="Lato Light" w:hAnsi="Lato Light"/>
        </w:rPr>
        <w:t>Kontu-hartzailetzako eginkizunak betetzen dituen organoaren txosten horretan hauek zehaztuko dira:</w:t>
      </w:r>
    </w:p>
    <w:p w14:paraId="156A12E0" w14:textId="77777777" w:rsidR="005F7922" w:rsidRPr="00AD3586" w:rsidRDefault="00432FFA" w:rsidP="005F7922">
      <w:pPr>
        <w:spacing w:before="240"/>
        <w:jc w:val="both"/>
        <w:rPr>
          <w:rFonts w:ascii="Lato Light" w:hAnsi="Lato Light"/>
        </w:rPr>
      </w:pPr>
      <w:r w:rsidRPr="00AD3586">
        <w:rPr>
          <w:rFonts w:ascii="Lato Light" w:hAnsi="Lato Light"/>
        </w:rPr>
        <w:t xml:space="preserve">a) Finantzatzeko gastuek ez dutela erakundearen finantza-iraunkortasuna arriskuan jartzen. </w:t>
      </w:r>
    </w:p>
    <w:p w14:paraId="2162DA78" w14:textId="77777777" w:rsidR="005F7922" w:rsidRPr="00AD3586" w:rsidRDefault="00432FFA" w:rsidP="005F7922">
      <w:pPr>
        <w:spacing w:before="240"/>
        <w:jc w:val="both"/>
        <w:rPr>
          <w:rFonts w:ascii="Lato Light" w:hAnsi="Lato Light"/>
        </w:rPr>
      </w:pPr>
      <w:r w:rsidRPr="00AD3586">
        <w:rPr>
          <w:rFonts w:ascii="Lato Light" w:hAnsi="Lato Light"/>
        </w:rPr>
        <w:t xml:space="preserve">b) Aurreko urteko ekitaldiaren likidazioa gastu orokorretarako diruzaintza gerakinaren bitartez eta aurrezki garbi positiboaren bitartez egin dela. </w:t>
      </w:r>
    </w:p>
    <w:p w14:paraId="6863DED2" w14:textId="77777777" w:rsidR="005F7922" w:rsidRPr="00AD3586" w:rsidRDefault="00432FFA" w:rsidP="005F7922">
      <w:pPr>
        <w:spacing w:before="240"/>
        <w:jc w:val="both"/>
        <w:rPr>
          <w:rFonts w:ascii="Lato Light" w:hAnsi="Lato Light"/>
        </w:rPr>
      </w:pPr>
      <w:r w:rsidRPr="00AD3586">
        <w:rPr>
          <w:rFonts w:ascii="Lato Light" w:hAnsi="Lato Light"/>
        </w:rPr>
        <w:t xml:space="preserve">c) Urte bakoitzerako finkatutako zor helburua betetzen dela. </w:t>
      </w:r>
    </w:p>
    <w:p w14:paraId="5A680517" w14:textId="77777777" w:rsidR="005F7922" w:rsidRPr="00AD3586" w:rsidRDefault="00432FFA" w:rsidP="005F7922">
      <w:pPr>
        <w:spacing w:before="240"/>
        <w:jc w:val="both"/>
        <w:rPr>
          <w:rFonts w:ascii="Lato Light" w:hAnsi="Lato Light"/>
        </w:rPr>
      </w:pPr>
      <w:r w:rsidRPr="00AD3586">
        <w:rPr>
          <w:rFonts w:ascii="Lato Light" w:hAnsi="Lato Light"/>
        </w:rPr>
        <w:t xml:space="preserve">d) Egonkortasuneko helburua edo gastu-araua ez duela betetzen, diruzaintzako geldikinarekin finantzatu dituelako erakundearen finantza-iraunkortasuna arriskuan jartzen ez duten gastuak. </w:t>
      </w:r>
    </w:p>
    <w:p w14:paraId="63982549" w14:textId="77777777" w:rsidR="005F7922" w:rsidRPr="00AD3586" w:rsidRDefault="00432FFA" w:rsidP="005F7922">
      <w:pPr>
        <w:spacing w:before="240"/>
        <w:jc w:val="both"/>
        <w:rPr>
          <w:rFonts w:ascii="Lato Light" w:hAnsi="Lato Light"/>
        </w:rPr>
      </w:pPr>
      <w:r w:rsidRPr="00AD3586">
        <w:rPr>
          <w:rFonts w:ascii="Lato Light" w:hAnsi="Lato Light"/>
        </w:rPr>
        <w:lastRenderedPageBreak/>
        <w:t>e) 3.4 artikuluan xedatutakoa, kasua bada, bete egiten dela ».</w:t>
      </w:r>
    </w:p>
    <w:p w14:paraId="5EDB4ADE" w14:textId="77777777" w:rsidR="00300600" w:rsidRPr="00AD3586" w:rsidRDefault="00432FFA" w:rsidP="00300600">
      <w:pPr>
        <w:spacing w:before="240"/>
        <w:jc w:val="both"/>
        <w:rPr>
          <w:rFonts w:ascii="Lato Light" w:hAnsi="Lato Light"/>
        </w:rPr>
      </w:pPr>
      <w:r w:rsidRPr="00AD3586">
        <w:rPr>
          <w:rFonts w:ascii="Lato Light" w:hAnsi="Lato Light"/>
        </w:rPr>
        <w:t>5/2013 FAren 3.4 artikuluko bigarren paragrafoak ahalmena ematen die Bizkaiko Lurralde Historikoko toki-erakundeei zorra murriztera bideratzen ez diren zenbatekoak erabiltzeko, egokitzat jotzen dituzten aurrekontu aldaketak finantzatzeko baliabidetzat.</w:t>
      </w:r>
    </w:p>
    <w:p w14:paraId="1DD40F53" w14:textId="77777777" w:rsidR="00300600" w:rsidRPr="00AD3586" w:rsidRDefault="00432FFA" w:rsidP="009C4D2B">
      <w:pPr>
        <w:spacing w:before="240"/>
        <w:jc w:val="both"/>
        <w:rPr>
          <w:rFonts w:ascii="Lato Light" w:hAnsi="Lato Light"/>
        </w:rPr>
      </w:pPr>
      <w:r w:rsidRPr="00AD3586">
        <w:rPr>
          <w:rFonts w:ascii="Lato Light" w:hAnsi="Lato Light"/>
        </w:rPr>
        <w:t>Aukera hori baliatuz, … (e)ko Udalak, … (e)an (202</w:t>
      </w:r>
      <w:r w:rsidR="00AB73A6" w:rsidRPr="00AD3586">
        <w:rPr>
          <w:rFonts w:ascii="Lato Light" w:hAnsi="Lato Light"/>
        </w:rPr>
        <w:t>X</w:t>
      </w:r>
      <w:r w:rsidRPr="00AD3586">
        <w:rPr>
          <w:rFonts w:ascii="Lato Light" w:hAnsi="Lato Light"/>
        </w:rPr>
        <w:t>eko lehen hiruhilekoan, 202</w:t>
      </w:r>
      <w:r w:rsidR="00AB73A6" w:rsidRPr="00AD3586">
        <w:rPr>
          <w:rFonts w:ascii="Lato Light" w:hAnsi="Lato Light"/>
        </w:rPr>
        <w:t>X</w:t>
      </w:r>
      <w:r w:rsidRPr="00AD3586">
        <w:rPr>
          <w:rFonts w:ascii="Lato Light" w:hAnsi="Lato Light"/>
        </w:rPr>
        <w:t>eko ekitaldian …), guztira aurrekontu-aldaketako X espediente hasi eta izapidetu ditu, kreditu gehigarria emateagatik, gastuetarako diruzaintzako gerakinarekin finantzatuta, eta orain arte metatutako guztizko zenbatekoa XXX euro da.</w:t>
      </w:r>
    </w:p>
    <w:p w14:paraId="6B5CB379" w14:textId="77777777" w:rsidR="00300600" w:rsidRPr="00AD3586" w:rsidRDefault="00432FFA" w:rsidP="00300600">
      <w:pPr>
        <w:spacing w:before="240"/>
        <w:jc w:val="both"/>
        <w:rPr>
          <w:rFonts w:ascii="Lato Light" w:hAnsi="Lato Light"/>
        </w:rPr>
      </w:pPr>
      <w:r w:rsidRPr="00AD3586">
        <w:rPr>
          <w:rFonts w:ascii="Lato Light" w:hAnsi="Lato Light"/>
        </w:rPr>
        <w:t>Era berean, aldi horretarako, gastuetarako diruzaintzako gerakina erabili da, zehazki XXX €, kredituak sartzeko X espediente finantzatzeko.</w:t>
      </w:r>
    </w:p>
    <w:p w14:paraId="5E5E1E5E" w14:textId="77777777" w:rsidR="00AB73A6" w:rsidRPr="00AD3586" w:rsidRDefault="00AB73A6" w:rsidP="00300600">
      <w:pPr>
        <w:spacing w:before="240"/>
        <w:jc w:val="both"/>
        <w:rPr>
          <w:rFonts w:ascii="Lato Light" w:hAnsi="Lato Light"/>
        </w:rPr>
      </w:pPr>
      <w:r w:rsidRPr="00AD3586">
        <w:rPr>
          <w:rFonts w:ascii="Lato Light" w:hAnsi="Lato Light"/>
        </w:rPr>
        <w:t>Kreditu-aldaketen xehetasuna honako hau da:</w:t>
      </w:r>
    </w:p>
    <w:tbl>
      <w:tblPr>
        <w:tblW w:w="8926" w:type="dxa"/>
        <w:tblInd w:w="75" w:type="dxa"/>
        <w:tblCellMar>
          <w:left w:w="70" w:type="dxa"/>
          <w:right w:w="70" w:type="dxa"/>
        </w:tblCellMar>
        <w:tblLook w:val="04A0" w:firstRow="1" w:lastRow="0" w:firstColumn="1" w:lastColumn="0" w:noHBand="0" w:noVBand="1"/>
      </w:tblPr>
      <w:tblGrid>
        <w:gridCol w:w="6799"/>
        <w:gridCol w:w="2127"/>
      </w:tblGrid>
      <w:tr w:rsidR="00AB73A6" w:rsidRPr="00AD3586" w14:paraId="2A505E18" w14:textId="77777777" w:rsidTr="00AB73A6">
        <w:trPr>
          <w:trHeight w:val="300"/>
        </w:trPr>
        <w:tc>
          <w:tcPr>
            <w:tcW w:w="6799" w:type="dxa"/>
            <w:tcBorders>
              <w:top w:val="single" w:sz="4" w:space="0" w:color="auto"/>
              <w:left w:val="single" w:sz="4" w:space="0" w:color="auto"/>
              <w:bottom w:val="single" w:sz="4" w:space="0" w:color="auto"/>
              <w:right w:val="single" w:sz="4" w:space="0" w:color="auto"/>
            </w:tcBorders>
            <w:noWrap/>
            <w:vAlign w:val="bottom"/>
            <w:hideMark/>
          </w:tcPr>
          <w:p w14:paraId="5BBFEE43" w14:textId="77777777" w:rsidR="00AB73A6" w:rsidRPr="00AD3586" w:rsidRDefault="00AB73A6" w:rsidP="00AB73A6">
            <w:pPr>
              <w:spacing w:after="0" w:line="240" w:lineRule="auto"/>
              <w:rPr>
                <w:rFonts w:ascii="Lato Light" w:hAnsi="Lato Light"/>
                <w:u w:val="single"/>
                <w:lang w:val="es-ES" w:eastAsia="es-ES"/>
              </w:rPr>
            </w:pPr>
            <w:r w:rsidRPr="00AD3586">
              <w:rPr>
                <w:rFonts w:ascii="Lato Light" w:hAnsi="Lato Light"/>
                <w:u w:val="single"/>
                <w:lang w:val="es-ES" w:eastAsia="es-ES"/>
              </w:rPr>
              <w:t>SARRERAK</w:t>
            </w:r>
          </w:p>
        </w:tc>
        <w:tc>
          <w:tcPr>
            <w:tcW w:w="2127" w:type="dxa"/>
            <w:tcBorders>
              <w:top w:val="single" w:sz="4" w:space="0" w:color="auto"/>
              <w:left w:val="nil"/>
              <w:bottom w:val="single" w:sz="4" w:space="0" w:color="auto"/>
              <w:right w:val="single" w:sz="4" w:space="0" w:color="auto"/>
            </w:tcBorders>
            <w:noWrap/>
            <w:vAlign w:val="bottom"/>
            <w:hideMark/>
          </w:tcPr>
          <w:p w14:paraId="6D2472AE" w14:textId="77777777" w:rsidR="00AB73A6" w:rsidRPr="00AD3586" w:rsidRDefault="00AB73A6" w:rsidP="00AB73A6">
            <w:pPr>
              <w:spacing w:after="0" w:line="240" w:lineRule="auto"/>
              <w:rPr>
                <w:rFonts w:ascii="Lato Light" w:hAnsi="Lato Light"/>
                <w:u w:val="single"/>
                <w:lang w:val="es-ES" w:eastAsia="es-ES"/>
              </w:rPr>
            </w:pPr>
            <w:r w:rsidRPr="00AD3586">
              <w:rPr>
                <w:rFonts w:ascii="Lato Light" w:hAnsi="Lato Light"/>
                <w:u w:val="single"/>
                <w:lang w:val="es-ES" w:eastAsia="es-ES"/>
              </w:rPr>
              <w:t>Zenbatekoa</w:t>
            </w:r>
          </w:p>
        </w:tc>
      </w:tr>
      <w:tr w:rsidR="00AB73A6" w:rsidRPr="00AD3586" w14:paraId="6DC3F3CD" w14:textId="77777777" w:rsidTr="00AB73A6">
        <w:trPr>
          <w:trHeight w:val="300"/>
        </w:trPr>
        <w:tc>
          <w:tcPr>
            <w:tcW w:w="6799" w:type="dxa"/>
            <w:tcBorders>
              <w:top w:val="nil"/>
              <w:left w:val="single" w:sz="4" w:space="0" w:color="auto"/>
              <w:bottom w:val="single" w:sz="4" w:space="0" w:color="auto"/>
              <w:right w:val="single" w:sz="4" w:space="0" w:color="auto"/>
            </w:tcBorders>
            <w:noWrap/>
            <w:vAlign w:val="bottom"/>
            <w:hideMark/>
          </w:tcPr>
          <w:p w14:paraId="68369350" w14:textId="77777777" w:rsidR="00AB73A6" w:rsidRPr="00AD3586" w:rsidRDefault="00AB73A6" w:rsidP="00AB73A6">
            <w:pPr>
              <w:spacing w:after="0" w:line="240" w:lineRule="auto"/>
              <w:rPr>
                <w:rFonts w:ascii="Lato Light" w:hAnsi="Lato Light"/>
                <w:lang w:val="es-ES" w:eastAsia="es-ES"/>
              </w:rPr>
            </w:pPr>
            <w:r w:rsidRPr="00AD3586">
              <w:rPr>
                <w:rFonts w:ascii="Lato Light" w:hAnsi="Lato Light"/>
                <w:lang w:val="es-ES" w:eastAsia="es-ES"/>
              </w:rPr>
              <w:t>Eragindako diruzaintza ge</w:t>
            </w:r>
            <w:r w:rsidR="00A97F81" w:rsidRPr="00AD3586">
              <w:rPr>
                <w:rFonts w:ascii="Lato Light" w:hAnsi="Lato Light"/>
                <w:lang w:val="es-ES" w:eastAsia="es-ES"/>
              </w:rPr>
              <w:t>rakin</w:t>
            </w:r>
          </w:p>
        </w:tc>
        <w:tc>
          <w:tcPr>
            <w:tcW w:w="2127" w:type="dxa"/>
            <w:tcBorders>
              <w:top w:val="nil"/>
              <w:left w:val="nil"/>
              <w:bottom w:val="single" w:sz="4" w:space="0" w:color="auto"/>
              <w:right w:val="single" w:sz="4" w:space="0" w:color="auto"/>
            </w:tcBorders>
            <w:noWrap/>
            <w:vAlign w:val="bottom"/>
            <w:hideMark/>
          </w:tcPr>
          <w:p w14:paraId="10BE40AD" w14:textId="77777777" w:rsidR="00AB73A6" w:rsidRPr="00AD3586" w:rsidRDefault="00AB73A6" w:rsidP="00AB73A6">
            <w:pPr>
              <w:spacing w:after="0" w:line="240" w:lineRule="auto"/>
              <w:rPr>
                <w:rFonts w:ascii="Lato Light" w:hAnsi="Lato Light"/>
                <w:lang w:val="es-ES" w:eastAsia="es-ES"/>
              </w:rPr>
            </w:pPr>
            <w:r w:rsidRPr="00AD3586">
              <w:rPr>
                <w:rFonts w:ascii="Lato Light" w:hAnsi="Lato Light"/>
                <w:lang w:val="es-ES" w:eastAsia="es-ES"/>
              </w:rPr>
              <w:t> </w:t>
            </w:r>
          </w:p>
        </w:tc>
      </w:tr>
      <w:tr w:rsidR="00AB73A6" w:rsidRPr="00AD3586" w14:paraId="2431A9AF" w14:textId="77777777" w:rsidTr="00AB73A6">
        <w:trPr>
          <w:trHeight w:val="300"/>
        </w:trPr>
        <w:tc>
          <w:tcPr>
            <w:tcW w:w="6799" w:type="dxa"/>
            <w:tcBorders>
              <w:top w:val="nil"/>
              <w:left w:val="single" w:sz="4" w:space="0" w:color="auto"/>
              <w:bottom w:val="single" w:sz="4" w:space="0" w:color="auto"/>
              <w:right w:val="single" w:sz="4" w:space="0" w:color="auto"/>
            </w:tcBorders>
            <w:noWrap/>
            <w:vAlign w:val="bottom"/>
            <w:hideMark/>
          </w:tcPr>
          <w:p w14:paraId="116D0034" w14:textId="77777777" w:rsidR="00AB73A6" w:rsidRPr="00AD3586" w:rsidRDefault="00AB73A6" w:rsidP="00AB73A6">
            <w:pPr>
              <w:spacing w:after="0" w:line="240" w:lineRule="auto"/>
              <w:rPr>
                <w:rFonts w:ascii="Lato Light" w:hAnsi="Lato Light"/>
                <w:lang w:val="es-ES" w:eastAsia="es-ES"/>
              </w:rPr>
            </w:pPr>
            <w:r w:rsidRPr="00AD3586">
              <w:rPr>
                <w:rFonts w:ascii="Lato Light" w:hAnsi="Lato Light"/>
                <w:lang w:val="es-ES" w:eastAsia="es-ES"/>
              </w:rPr>
              <w:t>Gastu orokorretarako diruzaintzako ge</w:t>
            </w:r>
            <w:r w:rsidR="00A97F81" w:rsidRPr="00AD3586">
              <w:rPr>
                <w:rFonts w:ascii="Lato Light" w:hAnsi="Lato Light"/>
                <w:lang w:val="es-ES" w:eastAsia="es-ES"/>
              </w:rPr>
              <w:t>rakin</w:t>
            </w:r>
          </w:p>
        </w:tc>
        <w:tc>
          <w:tcPr>
            <w:tcW w:w="2127" w:type="dxa"/>
            <w:tcBorders>
              <w:top w:val="nil"/>
              <w:left w:val="nil"/>
              <w:bottom w:val="single" w:sz="4" w:space="0" w:color="auto"/>
              <w:right w:val="single" w:sz="4" w:space="0" w:color="auto"/>
            </w:tcBorders>
            <w:noWrap/>
            <w:vAlign w:val="bottom"/>
            <w:hideMark/>
          </w:tcPr>
          <w:p w14:paraId="1DAD80C4" w14:textId="77777777" w:rsidR="00AB73A6" w:rsidRPr="00AD3586" w:rsidRDefault="00AB73A6" w:rsidP="00AB73A6">
            <w:pPr>
              <w:spacing w:after="0" w:line="240" w:lineRule="auto"/>
              <w:rPr>
                <w:rFonts w:ascii="Lato Light" w:hAnsi="Lato Light"/>
                <w:lang w:val="es-ES" w:eastAsia="es-ES"/>
              </w:rPr>
            </w:pPr>
            <w:r w:rsidRPr="00AD3586">
              <w:rPr>
                <w:rFonts w:ascii="Lato Light" w:hAnsi="Lato Light"/>
                <w:lang w:val="es-ES" w:eastAsia="es-ES"/>
              </w:rPr>
              <w:t> </w:t>
            </w:r>
          </w:p>
        </w:tc>
      </w:tr>
      <w:tr w:rsidR="00AB73A6" w:rsidRPr="00AD3586" w14:paraId="47AB373F" w14:textId="77777777" w:rsidTr="00AB73A6">
        <w:trPr>
          <w:trHeight w:val="300"/>
        </w:trPr>
        <w:tc>
          <w:tcPr>
            <w:tcW w:w="6799" w:type="dxa"/>
            <w:tcBorders>
              <w:top w:val="nil"/>
              <w:left w:val="single" w:sz="4" w:space="0" w:color="auto"/>
              <w:bottom w:val="single" w:sz="4" w:space="0" w:color="auto"/>
              <w:right w:val="single" w:sz="4" w:space="0" w:color="auto"/>
            </w:tcBorders>
            <w:noWrap/>
            <w:vAlign w:val="bottom"/>
            <w:hideMark/>
          </w:tcPr>
          <w:p w14:paraId="2047672F" w14:textId="77777777" w:rsidR="00AB73A6" w:rsidRPr="00AD3586" w:rsidRDefault="00AB73A6" w:rsidP="00AB73A6">
            <w:pPr>
              <w:spacing w:after="0" w:line="240" w:lineRule="auto"/>
              <w:rPr>
                <w:rFonts w:ascii="Lato Light" w:hAnsi="Lato Light"/>
                <w:lang w:val="es-ES" w:eastAsia="es-ES"/>
              </w:rPr>
            </w:pPr>
            <w:r w:rsidRPr="00AD3586">
              <w:rPr>
                <w:rFonts w:ascii="Lato Light" w:hAnsi="Lato Light"/>
                <w:lang w:val="es-ES" w:eastAsia="es-ES"/>
              </w:rPr>
              <w:t> </w:t>
            </w:r>
          </w:p>
        </w:tc>
        <w:tc>
          <w:tcPr>
            <w:tcW w:w="2127" w:type="dxa"/>
            <w:tcBorders>
              <w:top w:val="nil"/>
              <w:left w:val="nil"/>
              <w:bottom w:val="single" w:sz="4" w:space="0" w:color="auto"/>
              <w:right w:val="single" w:sz="4" w:space="0" w:color="auto"/>
            </w:tcBorders>
            <w:noWrap/>
            <w:vAlign w:val="bottom"/>
            <w:hideMark/>
          </w:tcPr>
          <w:p w14:paraId="6E4E29EC" w14:textId="77777777" w:rsidR="00AB73A6" w:rsidRPr="00AD3586" w:rsidRDefault="00AB73A6" w:rsidP="00AB73A6">
            <w:pPr>
              <w:spacing w:after="0" w:line="240" w:lineRule="auto"/>
              <w:rPr>
                <w:rFonts w:ascii="Lato Light" w:hAnsi="Lato Light"/>
                <w:lang w:val="es-ES" w:eastAsia="es-ES"/>
              </w:rPr>
            </w:pPr>
            <w:r w:rsidRPr="00AD3586">
              <w:rPr>
                <w:rFonts w:ascii="Lato Light" w:hAnsi="Lato Light"/>
                <w:lang w:val="es-ES" w:eastAsia="es-ES"/>
              </w:rPr>
              <w:t> </w:t>
            </w:r>
          </w:p>
        </w:tc>
      </w:tr>
      <w:tr w:rsidR="00AB73A6" w:rsidRPr="00AD3586" w14:paraId="6066948C" w14:textId="77777777" w:rsidTr="00AB73A6">
        <w:trPr>
          <w:trHeight w:val="300"/>
        </w:trPr>
        <w:tc>
          <w:tcPr>
            <w:tcW w:w="6799" w:type="dxa"/>
            <w:tcBorders>
              <w:top w:val="nil"/>
              <w:left w:val="single" w:sz="4" w:space="0" w:color="auto"/>
              <w:bottom w:val="single" w:sz="4" w:space="0" w:color="auto"/>
              <w:right w:val="single" w:sz="4" w:space="0" w:color="auto"/>
            </w:tcBorders>
            <w:noWrap/>
            <w:vAlign w:val="bottom"/>
            <w:hideMark/>
          </w:tcPr>
          <w:p w14:paraId="0E73571D" w14:textId="77777777" w:rsidR="00AB73A6" w:rsidRPr="00AD3586" w:rsidRDefault="00AB73A6" w:rsidP="00AB73A6">
            <w:pPr>
              <w:spacing w:after="0" w:line="240" w:lineRule="auto"/>
              <w:rPr>
                <w:rFonts w:ascii="Lato Light" w:hAnsi="Lato Light"/>
                <w:u w:val="single"/>
                <w:lang w:val="es-ES" w:eastAsia="es-ES"/>
              </w:rPr>
            </w:pPr>
            <w:r w:rsidRPr="00AD3586">
              <w:rPr>
                <w:rFonts w:ascii="Lato Light" w:hAnsi="Lato Light"/>
                <w:u w:val="single"/>
                <w:lang w:val="es-ES" w:eastAsia="es-ES"/>
              </w:rPr>
              <w:t>GASTUAK</w:t>
            </w:r>
          </w:p>
        </w:tc>
        <w:tc>
          <w:tcPr>
            <w:tcW w:w="2127" w:type="dxa"/>
            <w:tcBorders>
              <w:top w:val="nil"/>
              <w:left w:val="nil"/>
              <w:bottom w:val="single" w:sz="4" w:space="0" w:color="auto"/>
              <w:right w:val="single" w:sz="4" w:space="0" w:color="auto"/>
            </w:tcBorders>
            <w:noWrap/>
            <w:vAlign w:val="bottom"/>
            <w:hideMark/>
          </w:tcPr>
          <w:p w14:paraId="79E1A43C" w14:textId="77777777" w:rsidR="00AB73A6" w:rsidRPr="00AD3586" w:rsidRDefault="00AB73A6" w:rsidP="00AB73A6">
            <w:pPr>
              <w:spacing w:after="0" w:line="240" w:lineRule="auto"/>
              <w:rPr>
                <w:rFonts w:ascii="Lato Light" w:hAnsi="Lato Light"/>
                <w:lang w:val="es-ES" w:eastAsia="es-ES"/>
              </w:rPr>
            </w:pPr>
            <w:r w:rsidRPr="00AD3586">
              <w:rPr>
                <w:rFonts w:ascii="Lato Light" w:hAnsi="Lato Light"/>
                <w:lang w:val="es-ES" w:eastAsia="es-ES"/>
              </w:rPr>
              <w:t> </w:t>
            </w:r>
          </w:p>
        </w:tc>
      </w:tr>
      <w:tr w:rsidR="00AB73A6" w:rsidRPr="00AD3586" w14:paraId="0EA72663" w14:textId="77777777" w:rsidTr="00AB73A6">
        <w:trPr>
          <w:trHeight w:val="300"/>
        </w:trPr>
        <w:tc>
          <w:tcPr>
            <w:tcW w:w="6799" w:type="dxa"/>
            <w:tcBorders>
              <w:top w:val="nil"/>
              <w:left w:val="single" w:sz="4" w:space="0" w:color="auto"/>
              <w:bottom w:val="single" w:sz="4" w:space="0" w:color="auto"/>
              <w:right w:val="single" w:sz="4" w:space="0" w:color="auto"/>
            </w:tcBorders>
            <w:noWrap/>
            <w:vAlign w:val="bottom"/>
            <w:hideMark/>
          </w:tcPr>
          <w:p w14:paraId="5A5D9759" w14:textId="77777777" w:rsidR="00AB73A6" w:rsidRPr="00AD3586" w:rsidRDefault="00AB73A6" w:rsidP="00AB73A6">
            <w:pPr>
              <w:spacing w:after="0" w:line="240" w:lineRule="auto"/>
              <w:rPr>
                <w:rFonts w:ascii="Lato Light" w:hAnsi="Lato Light"/>
                <w:lang w:val="es-ES" w:eastAsia="es-ES"/>
              </w:rPr>
            </w:pPr>
            <w:r w:rsidRPr="00AD3586">
              <w:rPr>
                <w:rFonts w:ascii="Lato Light" w:hAnsi="Lato Light"/>
                <w:lang w:val="es-ES" w:eastAsia="es-ES"/>
              </w:rPr>
              <w:t>Aurrekontu-aplikazioa (Kapitulua eta deskribapena)</w:t>
            </w:r>
          </w:p>
        </w:tc>
        <w:tc>
          <w:tcPr>
            <w:tcW w:w="2127" w:type="dxa"/>
            <w:tcBorders>
              <w:top w:val="nil"/>
              <w:left w:val="nil"/>
              <w:bottom w:val="single" w:sz="4" w:space="0" w:color="auto"/>
              <w:right w:val="single" w:sz="4" w:space="0" w:color="auto"/>
            </w:tcBorders>
            <w:noWrap/>
            <w:vAlign w:val="bottom"/>
            <w:hideMark/>
          </w:tcPr>
          <w:p w14:paraId="53841F07" w14:textId="77777777" w:rsidR="00AB73A6" w:rsidRPr="00AD3586" w:rsidRDefault="00AB73A6" w:rsidP="00AB73A6">
            <w:pPr>
              <w:spacing w:after="0" w:line="240" w:lineRule="auto"/>
              <w:rPr>
                <w:rFonts w:ascii="Lato Light" w:hAnsi="Lato Light"/>
                <w:lang w:val="es-ES" w:eastAsia="es-ES"/>
              </w:rPr>
            </w:pPr>
            <w:r w:rsidRPr="00AD3586">
              <w:rPr>
                <w:rFonts w:ascii="Lato Light" w:hAnsi="Lato Light"/>
                <w:lang w:val="es-ES" w:eastAsia="es-ES"/>
              </w:rPr>
              <w:t> </w:t>
            </w:r>
          </w:p>
        </w:tc>
      </w:tr>
      <w:tr w:rsidR="00AB73A6" w:rsidRPr="00AD3586" w14:paraId="679F1267" w14:textId="77777777" w:rsidTr="00AB73A6">
        <w:trPr>
          <w:trHeight w:val="300"/>
        </w:trPr>
        <w:tc>
          <w:tcPr>
            <w:tcW w:w="6799" w:type="dxa"/>
            <w:tcBorders>
              <w:top w:val="nil"/>
              <w:left w:val="single" w:sz="4" w:space="0" w:color="auto"/>
              <w:bottom w:val="single" w:sz="4" w:space="0" w:color="auto"/>
              <w:right w:val="single" w:sz="4" w:space="0" w:color="auto"/>
            </w:tcBorders>
            <w:noWrap/>
            <w:vAlign w:val="bottom"/>
            <w:hideMark/>
          </w:tcPr>
          <w:p w14:paraId="3D786B72" w14:textId="77777777" w:rsidR="00AB73A6" w:rsidRPr="00AD3586" w:rsidRDefault="00AB73A6" w:rsidP="00A97F81">
            <w:pPr>
              <w:spacing w:after="0" w:line="240" w:lineRule="auto"/>
              <w:ind w:left="708" w:hanging="708"/>
              <w:rPr>
                <w:rFonts w:ascii="Lato Light" w:hAnsi="Lato Light"/>
                <w:lang w:val="es-ES" w:eastAsia="es-ES"/>
              </w:rPr>
            </w:pPr>
            <w:r w:rsidRPr="00AD3586">
              <w:rPr>
                <w:rFonts w:ascii="Lato Light" w:hAnsi="Lato Light"/>
                <w:lang w:val="es-ES" w:eastAsia="es-ES"/>
              </w:rPr>
              <w:t> </w:t>
            </w:r>
          </w:p>
        </w:tc>
        <w:tc>
          <w:tcPr>
            <w:tcW w:w="2127" w:type="dxa"/>
            <w:tcBorders>
              <w:top w:val="nil"/>
              <w:left w:val="nil"/>
              <w:bottom w:val="single" w:sz="4" w:space="0" w:color="auto"/>
              <w:right w:val="single" w:sz="4" w:space="0" w:color="auto"/>
            </w:tcBorders>
            <w:noWrap/>
            <w:vAlign w:val="bottom"/>
            <w:hideMark/>
          </w:tcPr>
          <w:p w14:paraId="4FBED931" w14:textId="77777777" w:rsidR="00AB73A6" w:rsidRPr="00AD3586" w:rsidRDefault="00AB73A6" w:rsidP="00AB73A6">
            <w:pPr>
              <w:spacing w:after="0" w:line="240" w:lineRule="auto"/>
              <w:rPr>
                <w:rFonts w:ascii="Lato Light" w:hAnsi="Lato Light"/>
                <w:lang w:val="es-ES" w:eastAsia="es-ES"/>
              </w:rPr>
            </w:pPr>
            <w:r w:rsidRPr="00AD3586">
              <w:rPr>
                <w:rFonts w:ascii="Lato Light" w:hAnsi="Lato Light"/>
                <w:lang w:val="es-ES" w:eastAsia="es-ES"/>
              </w:rPr>
              <w:t> </w:t>
            </w:r>
          </w:p>
        </w:tc>
      </w:tr>
      <w:tr w:rsidR="00AB73A6" w:rsidRPr="00AD3586" w14:paraId="4871ACA3" w14:textId="77777777" w:rsidTr="00AB73A6">
        <w:trPr>
          <w:trHeight w:val="300"/>
        </w:trPr>
        <w:tc>
          <w:tcPr>
            <w:tcW w:w="6799" w:type="dxa"/>
            <w:tcBorders>
              <w:top w:val="nil"/>
              <w:left w:val="single" w:sz="4" w:space="0" w:color="auto"/>
              <w:bottom w:val="single" w:sz="4" w:space="0" w:color="auto"/>
              <w:right w:val="single" w:sz="4" w:space="0" w:color="auto"/>
            </w:tcBorders>
            <w:noWrap/>
            <w:vAlign w:val="bottom"/>
            <w:hideMark/>
          </w:tcPr>
          <w:p w14:paraId="5C91DEF2" w14:textId="77777777" w:rsidR="00AB73A6" w:rsidRPr="00AD3586" w:rsidRDefault="00AB73A6" w:rsidP="00AB73A6">
            <w:pPr>
              <w:spacing w:after="0" w:line="240" w:lineRule="auto"/>
              <w:rPr>
                <w:rFonts w:ascii="Lato Light" w:hAnsi="Lato Light"/>
                <w:lang w:val="es-ES" w:eastAsia="es-ES"/>
              </w:rPr>
            </w:pPr>
            <w:r w:rsidRPr="00AD3586">
              <w:rPr>
                <w:rFonts w:ascii="Lato Light" w:hAnsi="Lato Light"/>
                <w:lang w:val="es-ES" w:eastAsia="es-ES"/>
              </w:rPr>
              <w:t> </w:t>
            </w:r>
          </w:p>
        </w:tc>
        <w:tc>
          <w:tcPr>
            <w:tcW w:w="2127" w:type="dxa"/>
            <w:tcBorders>
              <w:top w:val="nil"/>
              <w:left w:val="nil"/>
              <w:bottom w:val="single" w:sz="4" w:space="0" w:color="auto"/>
              <w:right w:val="single" w:sz="4" w:space="0" w:color="auto"/>
            </w:tcBorders>
            <w:noWrap/>
            <w:vAlign w:val="bottom"/>
            <w:hideMark/>
          </w:tcPr>
          <w:p w14:paraId="6322C879" w14:textId="77777777" w:rsidR="00AB73A6" w:rsidRPr="00AD3586" w:rsidRDefault="00AB73A6" w:rsidP="00AB73A6">
            <w:pPr>
              <w:spacing w:after="0" w:line="240" w:lineRule="auto"/>
              <w:rPr>
                <w:rFonts w:ascii="Lato Light" w:hAnsi="Lato Light"/>
                <w:lang w:val="es-ES" w:eastAsia="es-ES"/>
              </w:rPr>
            </w:pPr>
            <w:r w:rsidRPr="00AD3586">
              <w:rPr>
                <w:rFonts w:ascii="Lato Light" w:hAnsi="Lato Light"/>
                <w:lang w:val="es-ES" w:eastAsia="es-ES"/>
              </w:rPr>
              <w:t> </w:t>
            </w:r>
          </w:p>
        </w:tc>
      </w:tr>
      <w:tr w:rsidR="00AB73A6" w:rsidRPr="00AD3586" w14:paraId="1EADC683" w14:textId="77777777" w:rsidTr="00AB73A6">
        <w:trPr>
          <w:trHeight w:val="300"/>
        </w:trPr>
        <w:tc>
          <w:tcPr>
            <w:tcW w:w="6799" w:type="dxa"/>
            <w:tcBorders>
              <w:top w:val="nil"/>
              <w:left w:val="single" w:sz="4" w:space="0" w:color="auto"/>
              <w:bottom w:val="single" w:sz="4" w:space="0" w:color="auto"/>
              <w:right w:val="single" w:sz="4" w:space="0" w:color="auto"/>
            </w:tcBorders>
            <w:noWrap/>
            <w:vAlign w:val="bottom"/>
            <w:hideMark/>
          </w:tcPr>
          <w:p w14:paraId="4BF8CB85" w14:textId="77777777" w:rsidR="00AB73A6" w:rsidRPr="00AD3586" w:rsidRDefault="00AB73A6" w:rsidP="00AB73A6">
            <w:pPr>
              <w:spacing w:after="0" w:line="240" w:lineRule="auto"/>
              <w:rPr>
                <w:rFonts w:ascii="Lato Light" w:hAnsi="Lato Light"/>
                <w:lang w:val="es-ES" w:eastAsia="es-ES"/>
              </w:rPr>
            </w:pPr>
            <w:r w:rsidRPr="00AD3586">
              <w:rPr>
                <w:rFonts w:ascii="Lato Light" w:hAnsi="Lato Light"/>
                <w:lang w:val="es-ES" w:eastAsia="es-ES"/>
              </w:rPr>
              <w:t> </w:t>
            </w:r>
          </w:p>
        </w:tc>
        <w:tc>
          <w:tcPr>
            <w:tcW w:w="2127" w:type="dxa"/>
            <w:tcBorders>
              <w:top w:val="nil"/>
              <w:left w:val="nil"/>
              <w:bottom w:val="single" w:sz="4" w:space="0" w:color="auto"/>
              <w:right w:val="single" w:sz="4" w:space="0" w:color="auto"/>
            </w:tcBorders>
            <w:noWrap/>
            <w:vAlign w:val="bottom"/>
            <w:hideMark/>
          </w:tcPr>
          <w:p w14:paraId="22A49325" w14:textId="77777777" w:rsidR="00AB73A6" w:rsidRPr="00AD3586" w:rsidRDefault="00AB73A6" w:rsidP="00AB73A6">
            <w:pPr>
              <w:spacing w:after="0" w:line="240" w:lineRule="auto"/>
              <w:rPr>
                <w:rFonts w:ascii="Lato Light" w:hAnsi="Lato Light"/>
                <w:lang w:val="es-ES" w:eastAsia="es-ES"/>
              </w:rPr>
            </w:pPr>
            <w:r w:rsidRPr="00AD3586">
              <w:rPr>
                <w:rFonts w:ascii="Lato Light" w:hAnsi="Lato Light"/>
                <w:lang w:val="es-ES" w:eastAsia="es-ES"/>
              </w:rPr>
              <w:t> </w:t>
            </w:r>
          </w:p>
        </w:tc>
      </w:tr>
    </w:tbl>
    <w:p w14:paraId="0BA561CA" w14:textId="77777777" w:rsidR="00693B46" w:rsidRPr="00AD3586" w:rsidRDefault="00693B46" w:rsidP="00300600">
      <w:pPr>
        <w:spacing w:before="240"/>
        <w:jc w:val="both"/>
        <w:rPr>
          <w:rFonts w:ascii="Lato Light" w:hAnsi="Lato Light"/>
        </w:rPr>
      </w:pPr>
    </w:p>
    <w:p w14:paraId="62A53FD2" w14:textId="77777777" w:rsidR="00300600" w:rsidRPr="00AD3586" w:rsidRDefault="00432FFA" w:rsidP="00300600">
      <w:pPr>
        <w:spacing w:before="240"/>
        <w:jc w:val="both"/>
        <w:rPr>
          <w:rFonts w:ascii="Lato Light" w:hAnsi="Lato Light"/>
        </w:rPr>
      </w:pPr>
      <w:r w:rsidRPr="00AD3586">
        <w:rPr>
          <w:rFonts w:ascii="Lato Light" w:hAnsi="Lato Light"/>
        </w:rPr>
        <w:t xml:space="preserve">Adierazitakoa dela bide, </w:t>
      </w:r>
      <w:r w:rsidR="00D170A8" w:rsidRPr="00AD3586">
        <w:rPr>
          <w:rFonts w:ascii="Lato Light" w:hAnsi="Lato Light"/>
        </w:rPr>
        <w:t xml:space="preserve">kontuan hartuta kreditu-aldaketaren ondorioz udalak ez duela betetzen egonkortasun-helburua edo gastu-araua, gastu horiek diruzaintzako gerakinarekin finantzatzeagatik, </w:t>
      </w:r>
      <w:r w:rsidRPr="00AD3586">
        <w:rPr>
          <w:rFonts w:ascii="Lato Light" w:hAnsi="Lato Light"/>
        </w:rPr>
        <w:t>5/2013 Foru Arauaren 6.5 artikulua aplikatu behar da. Artikulu hori txosten honen hasieran aipatu eta transkribatu da, eta, bertan oinarrituta, txostena egin da, osoko bilkurari helarazteko, honako alderdi hauek berariaz jasota:</w:t>
      </w:r>
    </w:p>
    <w:p w14:paraId="788E5964" w14:textId="77777777" w:rsidR="00E23F70" w:rsidRPr="00AD3586" w:rsidRDefault="00432FFA" w:rsidP="00E23F70">
      <w:pPr>
        <w:numPr>
          <w:ilvl w:val="0"/>
          <w:numId w:val="1"/>
        </w:numPr>
        <w:jc w:val="both"/>
        <w:rPr>
          <w:rFonts w:ascii="Lato Light" w:hAnsi="Lato Light"/>
        </w:rPr>
      </w:pPr>
      <w:r w:rsidRPr="00AD3586">
        <w:rPr>
          <w:rFonts w:ascii="Lato Light" w:hAnsi="Lato Light"/>
        </w:rPr>
        <w:t>202</w:t>
      </w:r>
      <w:r w:rsidR="00AB73A6" w:rsidRPr="00AD3586">
        <w:rPr>
          <w:rFonts w:ascii="Lato Light" w:hAnsi="Lato Light"/>
        </w:rPr>
        <w:t>x-1</w:t>
      </w:r>
      <w:r w:rsidRPr="00AD3586">
        <w:rPr>
          <w:rFonts w:ascii="Lato Light" w:hAnsi="Lato Light"/>
        </w:rPr>
        <w:t xml:space="preserve">ko abenduaren 31n, ...(e)ko Udalak duen </w:t>
      </w:r>
      <w:r w:rsidR="00AB73A6" w:rsidRPr="00AD3586">
        <w:rPr>
          <w:rFonts w:ascii="Lato Light" w:hAnsi="Lato Light"/>
        </w:rPr>
        <w:t>epe luzerako zor-eragiketen ondoriozko kapital biziaren diru-sarrera korronte kontsolidatuen gaineko portzentajea</w:t>
      </w:r>
      <w:r w:rsidRPr="00AD3586">
        <w:rPr>
          <w:rFonts w:ascii="Lato Light" w:hAnsi="Lato Light"/>
        </w:rPr>
        <w:t xml:space="preserve"> ekainaren 25eko 90/2013 Foru Dekretuaren 2. artikuluko a) apartatuak finkatzen duen % 35etik beherakoa da. Foru Dekretu horrek ekainaren 12ko 5/2013 Foru Arauaren 3.4 artikulua garatzen du eta zorra aldez aurretik itzultzeko irizpideak finkatzen ditu. </w:t>
      </w:r>
    </w:p>
    <w:p w14:paraId="08084612" w14:textId="77777777" w:rsidR="00FB5E9E" w:rsidRPr="00AD3586" w:rsidRDefault="00432FFA" w:rsidP="00FB5E9E">
      <w:pPr>
        <w:numPr>
          <w:ilvl w:val="0"/>
          <w:numId w:val="1"/>
        </w:numPr>
        <w:jc w:val="both"/>
        <w:rPr>
          <w:rFonts w:ascii="Lato Light" w:hAnsi="Lato Light"/>
        </w:rPr>
      </w:pPr>
      <w:r w:rsidRPr="00AD3586">
        <w:rPr>
          <w:rFonts w:ascii="Lato Light" w:hAnsi="Lato Light"/>
        </w:rPr>
        <w:t>Indarreko arautegian hornitzaileei ordaintzeko ezartzen diren epeak betetzen ditu udalak eta, hark duen diruzaintzako plana ikusita, aurrekontu-aldaketa honek ez du eragotziko etorkizuneko ez-betetzerik.</w:t>
      </w:r>
    </w:p>
    <w:p w14:paraId="4074D404" w14:textId="77777777" w:rsidR="004E2E60" w:rsidRPr="00AD3586" w:rsidRDefault="00432FFA" w:rsidP="004E2E60">
      <w:pPr>
        <w:numPr>
          <w:ilvl w:val="0"/>
          <w:numId w:val="1"/>
        </w:numPr>
        <w:spacing w:before="240"/>
        <w:jc w:val="both"/>
        <w:rPr>
          <w:rFonts w:ascii="Lato Light" w:hAnsi="Lato Light"/>
        </w:rPr>
      </w:pPr>
      <w:r w:rsidRPr="00AD3586">
        <w:rPr>
          <w:rFonts w:ascii="Lato Light" w:hAnsi="Lato Light"/>
        </w:rPr>
        <w:t xml:space="preserve">Aurreko urteko ekitaldiaren likidazioa gastu orokorretarako diruzaintza gerakinaren bitartez eta aurrezki garbi positiboaren bitartez egin da. </w:t>
      </w:r>
    </w:p>
    <w:p w14:paraId="5CF66F20" w14:textId="77777777" w:rsidR="004E2E60" w:rsidRPr="00AD3586" w:rsidRDefault="00432FFA" w:rsidP="004E2E60">
      <w:pPr>
        <w:spacing w:before="240"/>
        <w:ind w:left="720"/>
        <w:jc w:val="both"/>
        <w:rPr>
          <w:rFonts w:ascii="Lato Light" w:hAnsi="Lato Light"/>
        </w:rPr>
      </w:pPr>
      <w:r w:rsidRPr="00AD3586">
        <w:rPr>
          <w:rFonts w:ascii="Lato Light" w:hAnsi="Lato Light"/>
        </w:rPr>
        <w:lastRenderedPageBreak/>
        <w:t>202</w:t>
      </w:r>
      <w:r w:rsidR="00A97F81" w:rsidRPr="00AD3586">
        <w:rPr>
          <w:rFonts w:ascii="Lato Light" w:hAnsi="Lato Light"/>
        </w:rPr>
        <w:t>x-1</w:t>
      </w:r>
      <w:r w:rsidRPr="00AD3586">
        <w:rPr>
          <w:rFonts w:ascii="Lato Light" w:hAnsi="Lato Light"/>
        </w:rPr>
        <w:t>KO GASTU OROKORRETARAKO ERRENTA</w:t>
      </w:r>
      <w:r w:rsidRPr="00AD3586">
        <w:rPr>
          <w:rFonts w:ascii="Lato Light" w:hAnsi="Lato Light"/>
          <w:highlight w:val="lightGray"/>
        </w:rPr>
        <w:t>: Zenbatekoa guztira</w:t>
      </w:r>
    </w:p>
    <w:p w14:paraId="7511F803" w14:textId="77777777" w:rsidR="003D0772" w:rsidRPr="00AD3586" w:rsidRDefault="00432FFA" w:rsidP="003D0772">
      <w:pPr>
        <w:spacing w:before="240"/>
        <w:ind w:left="720"/>
        <w:jc w:val="both"/>
        <w:rPr>
          <w:rFonts w:ascii="Lato Light" w:hAnsi="Lato Light"/>
        </w:rPr>
      </w:pPr>
      <w:r w:rsidRPr="00AD3586">
        <w:rPr>
          <w:rFonts w:ascii="Lato Light" w:hAnsi="Lato Light"/>
        </w:rPr>
        <w:t>AURREZKI GARBIA 202</w:t>
      </w:r>
      <w:r w:rsidR="00A97F81" w:rsidRPr="00AD3586">
        <w:rPr>
          <w:rFonts w:ascii="Lato Light" w:hAnsi="Lato Light"/>
        </w:rPr>
        <w:t>x-1</w:t>
      </w:r>
      <w:r w:rsidRPr="00AD3586">
        <w:rPr>
          <w:rFonts w:ascii="Lato Light" w:hAnsi="Lato Light"/>
        </w:rPr>
        <w:t xml:space="preserve">: </w:t>
      </w:r>
      <w:r w:rsidRPr="00AD3586">
        <w:rPr>
          <w:rFonts w:ascii="Lato Light" w:hAnsi="Lato Light"/>
          <w:highlight w:val="lightGray"/>
        </w:rPr>
        <w:t>Zenbatekoa guztira</w:t>
      </w:r>
    </w:p>
    <w:p w14:paraId="4D647FAE" w14:textId="77777777" w:rsidR="004E2E60" w:rsidRPr="00AD3586" w:rsidRDefault="00432FFA" w:rsidP="003D0772">
      <w:pPr>
        <w:spacing w:before="240"/>
        <w:jc w:val="both"/>
        <w:rPr>
          <w:rFonts w:ascii="Lato Light" w:hAnsi="Lato Light"/>
          <w:i/>
          <w:sz w:val="20"/>
          <w:szCs w:val="20"/>
        </w:rPr>
      </w:pPr>
      <w:r w:rsidRPr="00AD3586">
        <w:rPr>
          <w:rFonts w:ascii="Lato Light" w:hAnsi="Lato Light"/>
          <w:i/>
          <w:sz w:val="20"/>
        </w:rPr>
        <w:t>Aurrezki garbia Toki Ogasunei buruzko abenduaren 16ko 9/2005 Foru Arauaren 55. artikuluan definituta dago: «(...) toki erakundeen eta beren erakunde autonomiadunen aurrezki garbia izango da diru-sarreren orriko lehenengo kapitulutik bosgarrenera -biak barne- likidatutako eskubideen eta gastu-orriko lehenengo, bigarren eta laugarren kapituluek onartutako betebeharren arteko diferentzia, proiektatutako eragiketaren nahiz erakundearen mailegu eta jesapen bakoitzaren eta hirugarrenei abalatu eta itzultzeke daudenen amortizazioaren urteko kopuru teoriko baten zenbatekoa gutxitua. Amortizazioaren urteko kopuru teorikoaren zenbatekoa, epe luzera itundutako mailegu bakoitzarena eta korporazioak abalatu eta itzultzeke daudenak, baita proiektatutako eragiketarena ere, termino konstanteetan zehaztuko da, interesak eta amortizazioaren urteko kuota sartuta, eragiketaren modalitatea eta baldintzak edozein izanda ere. Erakunde publikoetan aurrezki garbitzat jotzen da.</w:t>
      </w:r>
    </w:p>
    <w:p w14:paraId="238301F7" w14:textId="77777777" w:rsidR="006D3FA9" w:rsidRPr="00AD3586" w:rsidRDefault="00432FFA" w:rsidP="00CD76EA">
      <w:pPr>
        <w:spacing w:after="0"/>
        <w:jc w:val="both"/>
        <w:rPr>
          <w:rFonts w:ascii="Lato Light" w:hAnsi="Lato Light"/>
          <w:i/>
          <w:sz w:val="20"/>
          <w:szCs w:val="20"/>
        </w:rPr>
      </w:pPr>
      <w:r w:rsidRPr="00AD3586">
        <w:rPr>
          <w:rFonts w:ascii="Lato Light" w:hAnsi="Lato Light"/>
          <w:i/>
          <w:sz w:val="20"/>
        </w:rPr>
        <w:t xml:space="preserve">Aurrezki garbian ez dira sartuko onartutako betebeharrak, kredituen aldaketek eragindakoak, diruzaintzako geldikin likidoarekin finantzatu badira». </w:t>
      </w:r>
    </w:p>
    <w:p w14:paraId="73EF2CB4" w14:textId="77777777" w:rsidR="00A97F81" w:rsidRPr="00AD3586" w:rsidRDefault="00A97F81" w:rsidP="00A97F81">
      <w:pPr>
        <w:numPr>
          <w:ilvl w:val="0"/>
          <w:numId w:val="1"/>
        </w:numPr>
        <w:spacing w:before="240"/>
        <w:ind w:right="47"/>
        <w:jc w:val="both"/>
        <w:rPr>
          <w:rFonts w:ascii="Lato Light" w:hAnsi="Lato Light"/>
        </w:rPr>
      </w:pPr>
      <w:r w:rsidRPr="00AD3586">
        <w:rPr>
          <w:rFonts w:ascii="Lato Light" w:hAnsi="Lato Light"/>
        </w:rPr>
        <w:t>Udalak ezarritako zorraren helburua betetzen du</w:t>
      </w:r>
    </w:p>
    <w:p w14:paraId="3992FCA3" w14:textId="77777777" w:rsidR="004E2E60" w:rsidRPr="00AD3586" w:rsidRDefault="00432FFA" w:rsidP="00A97F81">
      <w:pPr>
        <w:spacing w:before="240"/>
        <w:ind w:right="47"/>
        <w:jc w:val="both"/>
        <w:rPr>
          <w:rFonts w:ascii="Lato Light" w:hAnsi="Lato Light"/>
        </w:rPr>
      </w:pPr>
      <w:r w:rsidRPr="00AD3586">
        <w:rPr>
          <w:rFonts w:ascii="Lato Light" w:hAnsi="Lato Light"/>
        </w:rPr>
        <w:t>Kreditu-aldaketa honen bidez finantzatu beharreko gastuak ez du udalaren iraunkortasuna aldatzen, ez epe laburrera, ez epe luzera; izan ere, finantzatzen diren gastuak iraunkorrak dira, eta etorkizunean ez dute kostu berririk sortzen. Beraz, esan daiteke ez dela arriskuan jartzen udalaren etorkizuneko finantza-iraunkortasuna.</w:t>
      </w:r>
    </w:p>
    <w:p w14:paraId="56F2CDCF" w14:textId="77777777" w:rsidR="00C71757" w:rsidRPr="00AD3586" w:rsidRDefault="00432FFA" w:rsidP="00B3377C">
      <w:pPr>
        <w:spacing w:before="240"/>
        <w:ind w:right="47"/>
        <w:jc w:val="both"/>
        <w:rPr>
          <w:rFonts w:ascii="Lato Light" w:hAnsi="Lato Light"/>
        </w:rPr>
      </w:pPr>
      <w:r w:rsidRPr="00AD3586">
        <w:rPr>
          <w:rFonts w:ascii="Lato Light" w:hAnsi="Lato Light"/>
          <w:b/>
        </w:rPr>
        <w:t>ONDORIOA:</w:t>
      </w:r>
      <w:r w:rsidRPr="00AD3586">
        <w:rPr>
          <w:rFonts w:ascii="Lato Light" w:hAnsi="Lato Light"/>
        </w:rPr>
        <w:t xml:space="preserve"> Ondoriozta daiteke aurrekontu-aldaketa honek ez duela xx(e)ko Udalaren finantza-egonkortasuna konprometitzen 5/2013 Lege Organikoak ezarritako terminoetan.</w:t>
      </w:r>
    </w:p>
    <w:p w14:paraId="3BCE5AD0" w14:textId="77777777" w:rsidR="00DB4B47" w:rsidRPr="00AD3586" w:rsidRDefault="00DB4B47" w:rsidP="00E07461">
      <w:pPr>
        <w:jc w:val="both"/>
        <w:rPr>
          <w:rFonts w:ascii="Lato Light" w:hAnsi="Lato Light"/>
        </w:rPr>
      </w:pPr>
    </w:p>
    <w:p w14:paraId="767EA484" w14:textId="77777777" w:rsidR="00DB4B47" w:rsidRPr="00AD3586" w:rsidRDefault="00432FFA" w:rsidP="0068342D">
      <w:pPr>
        <w:jc w:val="center"/>
        <w:rPr>
          <w:rFonts w:ascii="Lato Light" w:hAnsi="Lato Light"/>
        </w:rPr>
      </w:pPr>
      <w:r w:rsidRPr="00AD3586">
        <w:rPr>
          <w:rFonts w:ascii="Lato Light" w:hAnsi="Lato Light"/>
          <w:highlight w:val="lightGray"/>
        </w:rPr>
        <w:t>(xxx)n, 202x(e)ko xxxxaren xxxx(e)an.</w:t>
      </w:r>
    </w:p>
    <w:p w14:paraId="737A5CAD" w14:textId="77777777" w:rsidR="00A54685" w:rsidRPr="00AD3586" w:rsidRDefault="00A54685" w:rsidP="00D55598">
      <w:pPr>
        <w:jc w:val="center"/>
        <w:rPr>
          <w:rFonts w:ascii="Lato Light" w:hAnsi="Lato Light"/>
        </w:rPr>
      </w:pPr>
    </w:p>
    <w:p w14:paraId="38425B73" w14:textId="77777777" w:rsidR="00A54685" w:rsidRPr="00AD3586" w:rsidRDefault="00A54685" w:rsidP="00D55598">
      <w:pPr>
        <w:jc w:val="center"/>
        <w:rPr>
          <w:rFonts w:ascii="Lato Light" w:hAnsi="Lato Light"/>
        </w:rPr>
      </w:pPr>
    </w:p>
    <w:p w14:paraId="64BB1554" w14:textId="77777777" w:rsidR="00A54685" w:rsidRPr="00AD3586" w:rsidRDefault="00A54685" w:rsidP="00D55598">
      <w:pPr>
        <w:jc w:val="center"/>
        <w:rPr>
          <w:rFonts w:ascii="Lato Light" w:hAnsi="Lato Light"/>
        </w:rPr>
      </w:pPr>
    </w:p>
    <w:p w14:paraId="782E2D73" w14:textId="77777777" w:rsidR="00A54685" w:rsidRPr="00AD3586" w:rsidRDefault="00A54685" w:rsidP="00D55598">
      <w:pPr>
        <w:jc w:val="center"/>
        <w:rPr>
          <w:rFonts w:ascii="Lato Light" w:hAnsi="Lato Light"/>
        </w:rPr>
      </w:pPr>
    </w:p>
    <w:p w14:paraId="1E92913C" w14:textId="77777777" w:rsidR="00DB4B47" w:rsidRPr="00AD3586" w:rsidRDefault="00432FFA" w:rsidP="00D55598">
      <w:pPr>
        <w:jc w:val="center"/>
        <w:rPr>
          <w:rFonts w:ascii="Lato Light" w:hAnsi="Lato Light"/>
        </w:rPr>
      </w:pPr>
      <w:r w:rsidRPr="00AD3586">
        <w:rPr>
          <w:rFonts w:ascii="Lato Light" w:hAnsi="Lato Light"/>
          <w:highlight w:val="lightGray"/>
        </w:rPr>
        <w:t>IDAZKARIA</w:t>
      </w:r>
    </w:p>
    <w:sectPr w:rsidR="00DB4B47" w:rsidRPr="00AD3586">
      <w:pgSz w:w="11906" w:h="16838"/>
      <w:pgMar w:top="1701" w:right="1474" w:bottom="1701" w:left="147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panose1 w:val="020B0603020202030204"/>
    <w:charset w:val="00"/>
    <w:family w:val="swiss"/>
    <w:pitch w:val="variable"/>
    <w:sig w:usb0="00000007" w:usb1="00000000" w:usb2="00000000" w:usb3="00000000" w:csb0="00000093" w:csb1="00000000"/>
  </w:font>
  <w:font w:name="Lato Light">
    <w:altName w:val="Calibri Light"/>
    <w:panose1 w:val="020F0302020204030203"/>
    <w:charset w:val="00"/>
    <w:family w:val="swiss"/>
    <w:pitch w:val="variable"/>
    <w:sig w:usb0="A00002AF" w:usb1="50006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270D7A"/>
    <w:multiLevelType w:val="hybridMultilevel"/>
    <w:tmpl w:val="FFFFFFFF"/>
    <w:lvl w:ilvl="0" w:tplc="00000000">
      <w:start w:val="1"/>
      <w:numFmt w:val="decimal"/>
      <w:lvlText w:val="%1."/>
      <w:lvlJc w:val="left"/>
      <w:pPr>
        <w:ind w:left="72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num w:numId="1" w16cid:durableId="589504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205"/>
    <w:rsid w:val="000B44DF"/>
    <w:rsid w:val="000E3D88"/>
    <w:rsid w:val="00122A64"/>
    <w:rsid w:val="00156A3B"/>
    <w:rsid w:val="00156C87"/>
    <w:rsid w:val="001F3415"/>
    <w:rsid w:val="001F3C50"/>
    <w:rsid w:val="002038C7"/>
    <w:rsid w:val="00204667"/>
    <w:rsid w:val="0021176F"/>
    <w:rsid w:val="00282205"/>
    <w:rsid w:val="002920F6"/>
    <w:rsid w:val="002B2001"/>
    <w:rsid w:val="002D6C67"/>
    <w:rsid w:val="002E23F2"/>
    <w:rsid w:val="00300600"/>
    <w:rsid w:val="00327497"/>
    <w:rsid w:val="00381C9F"/>
    <w:rsid w:val="003D0772"/>
    <w:rsid w:val="003F2FF5"/>
    <w:rsid w:val="00406EED"/>
    <w:rsid w:val="00416460"/>
    <w:rsid w:val="00432FFA"/>
    <w:rsid w:val="004860D4"/>
    <w:rsid w:val="004D5084"/>
    <w:rsid w:val="004E2E60"/>
    <w:rsid w:val="004E37E7"/>
    <w:rsid w:val="004E4393"/>
    <w:rsid w:val="005250F7"/>
    <w:rsid w:val="005D0058"/>
    <w:rsid w:val="005E3954"/>
    <w:rsid w:val="005F7922"/>
    <w:rsid w:val="006017D2"/>
    <w:rsid w:val="00623680"/>
    <w:rsid w:val="00642643"/>
    <w:rsid w:val="0068342D"/>
    <w:rsid w:val="00686371"/>
    <w:rsid w:val="00693B46"/>
    <w:rsid w:val="006C15CA"/>
    <w:rsid w:val="006D1C2C"/>
    <w:rsid w:val="006D3FA9"/>
    <w:rsid w:val="006F4C49"/>
    <w:rsid w:val="00730E0D"/>
    <w:rsid w:val="00732695"/>
    <w:rsid w:val="00752690"/>
    <w:rsid w:val="00762BF4"/>
    <w:rsid w:val="007A2418"/>
    <w:rsid w:val="007A5C88"/>
    <w:rsid w:val="007F7708"/>
    <w:rsid w:val="008B1A25"/>
    <w:rsid w:val="008C2773"/>
    <w:rsid w:val="0090412B"/>
    <w:rsid w:val="009C4D2B"/>
    <w:rsid w:val="00A1443B"/>
    <w:rsid w:val="00A32ADC"/>
    <w:rsid w:val="00A537CF"/>
    <w:rsid w:val="00A54685"/>
    <w:rsid w:val="00A97F81"/>
    <w:rsid w:val="00AB73A6"/>
    <w:rsid w:val="00AC02E3"/>
    <w:rsid w:val="00AC44BA"/>
    <w:rsid w:val="00AD0143"/>
    <w:rsid w:val="00AD3586"/>
    <w:rsid w:val="00AE2E29"/>
    <w:rsid w:val="00AF25CD"/>
    <w:rsid w:val="00B3377C"/>
    <w:rsid w:val="00B529F3"/>
    <w:rsid w:val="00C71757"/>
    <w:rsid w:val="00C86704"/>
    <w:rsid w:val="00CD76EA"/>
    <w:rsid w:val="00D170A8"/>
    <w:rsid w:val="00D266FA"/>
    <w:rsid w:val="00D55598"/>
    <w:rsid w:val="00DB4B47"/>
    <w:rsid w:val="00DF3674"/>
    <w:rsid w:val="00E0158A"/>
    <w:rsid w:val="00E07461"/>
    <w:rsid w:val="00E23F70"/>
    <w:rsid w:val="00E4086F"/>
    <w:rsid w:val="00EB4BFE"/>
    <w:rsid w:val="00EC7774"/>
    <w:rsid w:val="00EE5723"/>
    <w:rsid w:val="00FB5E9E"/>
    <w:rsid w:val="00FB78D2"/>
  </w:rsids>
  <m:mathPr>
    <m:mathFont m:val="Cambria Math"/>
    <m:brkBin m:val="before"/>
    <m:brkBinSub m:val="--"/>
    <m:smallFrac m:val="0"/>
    <m:dispDef/>
    <m:lMargin m:val="0"/>
    <m:rMargin m:val="0"/>
    <m:defJc m:val="centerGroup"/>
    <m:wrapRight/>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ADFC41"/>
  <w14:defaultImageDpi w14:val="0"/>
  <w15:docId w15:val="{9BCE3EED-5452-4D4C-9C45-3D300BE5B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s-ES" w:eastAsia="es-ES" w:bidi="ar-SA"/>
      </w:rPr>
    </w:rPrDefault>
    <w:pPrDefault>
      <w:pPr>
        <w:spacing w:after="160" w:line="259" w:lineRule="auto"/>
      </w:pPr>
    </w:pPrDefault>
  </w:docDefaults>
  <w:latentStyles w:defLockedState="1"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0"/>
    <w:lsdException w:name="Table Simple 2" w:locked="0"/>
    <w:lsdException w:name="Table Simple 3" w:locked="0"/>
    <w:lsdException w:name="Table Classic 1" w:locked="0"/>
    <w:lsdException w:name="Table Classic 2" w:locked="0"/>
    <w:lsdException w:name="Table Classic 3" w:locked="0"/>
    <w:lsdException w:name="Table Classic 4" w:locked="0"/>
    <w:lsdException w:name="Table Colorful 1" w:locked="0"/>
    <w:lsdException w:name="Table Colorful 2" w:locked="0"/>
    <w:lsdException w:name="Table Colorful 3" w:locked="0"/>
    <w:lsdException w:name="Table Columns 1" w:locked="0"/>
    <w:lsdException w:name="Table Columns 2" w:locked="0"/>
    <w:lsdException w:name="Table Columns 3" w:locked="0"/>
    <w:lsdException w:name="Table Columns 4" w:locked="0"/>
    <w:lsdException w:name="Table Columns 5" w:locked="0"/>
    <w:lsdException w:name="Table Grid 1" w:locked="0"/>
    <w:lsdException w:name="Table Grid 2" w:locked="0"/>
    <w:lsdException w:name="Table Grid 3" w:locked="0"/>
    <w:lsdException w:name="Table Grid 4" w:locked="0"/>
    <w:lsdException w:name="Table Grid 5" w:locked="0"/>
    <w:lsdException w:name="Table Grid 6" w:locked="0"/>
    <w:lsdException w:name="Table Grid 7" w:locked="0"/>
    <w:lsdException w:name="Table Grid 8" w:locked="0"/>
    <w:lsdException w:name="Table List 1" w:locked="0"/>
    <w:lsdException w:name="Table List 2" w:locked="0"/>
    <w:lsdException w:name="Table List 3" w:locked="0"/>
    <w:lsdException w:name="Table List 4" w:locked="0"/>
    <w:lsdException w:name="Table List 5" w:locked="0"/>
    <w:lsdException w:name="Table List 6" w:locked="0"/>
    <w:lsdException w:name="Table List 7" w:locked="0"/>
    <w:lsdException w:name="Table List 8" w:locked="0"/>
    <w:lsdException w:name="Table 3D effects 1" w:locked="0"/>
    <w:lsdException w:name="Table 3D effects 2" w:locked="0"/>
    <w:lsdException w:name="Table 3D effects 3" w:locked="0"/>
    <w:lsdException w:name="Table Contemporary" w:locked="0"/>
    <w:lsdException w:name="Table Elegant" w:locked="0"/>
    <w:lsdException w:name="Table Professional" w:locked="0"/>
    <w:lsdException w:name="Table Subtle 1" w:locked="0"/>
    <w:lsdException w:name="Table Subtle 2" w:locked="0"/>
    <w:lsdException w:name="Table Web 1" w:locked="0"/>
    <w:lsdException w:name="Table Web 2" w:locked="0"/>
    <w:lsdException w:name="Table Web 3" w:locked="0"/>
    <w:lsdException w:name="Balloon Text" w:semiHidden="1" w:unhideWhenUsed="1"/>
    <w:lsdException w:name="Table Grid" w:uiPriority="59"/>
    <w:lsdException w:name="Table Theme" w:locked="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lsdException w:name="Smart Hyperlink" w:locked="0"/>
    <w:lsdException w:name="Hashtag" w:locked="0"/>
    <w:lsdException w:name="Unresolved Mention" w:locked="0"/>
    <w:lsdException w:name="Smart Link" w:locked="0"/>
  </w:latentStyles>
  <w:style w:type="paragraph" w:default="1" w:styleId="Normal">
    <w:name w:val="Normal"/>
    <w:qFormat/>
    <w:pPr>
      <w:spacing w:after="200" w:line="276" w:lineRule="auto"/>
    </w:pPr>
    <w:rPr>
      <w:rFonts w:cs="Times New Roman"/>
      <w:lang w:val="eu-ES" w:eastAsia="en-US"/>
    </w:rPr>
  </w:style>
  <w:style w:type="paragraph" w:styleId="Ttulo1">
    <w:name w:val="heading 1"/>
    <w:basedOn w:val="Normal"/>
    <w:next w:val="Normal"/>
    <w:link w:val="Ttulo1Car"/>
    <w:uiPriority w:val="9"/>
    <w:qFormat/>
    <w:rsid w:val="00AD0143"/>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uiPriority w:val="9"/>
    <w:qFormat/>
    <w:rsid w:val="004E2E60"/>
    <w:pPr>
      <w:keepNext/>
      <w:spacing w:after="0" w:line="240" w:lineRule="auto"/>
      <w:ind w:right="-285"/>
      <w:jc w:val="both"/>
      <w:outlineLvl w:val="1"/>
    </w:pPr>
    <w:rPr>
      <w:rFonts w:ascii="Univers" w:hAnsi="Univers"/>
      <w:i/>
      <w:sz w:val="26"/>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AD0143"/>
    <w:rPr>
      <w:rFonts w:ascii="Cambria" w:hAnsi="Cambria" w:cs="Times New Roman"/>
      <w:b/>
      <w:kern w:val="32"/>
      <w:sz w:val="32"/>
      <w:lang w:val="eu-ES" w:eastAsia="en-US"/>
    </w:rPr>
  </w:style>
  <w:style w:type="character" w:customStyle="1" w:styleId="Ttulo2Car">
    <w:name w:val="Título 2 Car"/>
    <w:basedOn w:val="Fuentedeprrafopredeter"/>
    <w:link w:val="Ttulo2"/>
    <w:uiPriority w:val="9"/>
    <w:locked/>
    <w:rsid w:val="004E2E60"/>
    <w:rPr>
      <w:rFonts w:ascii="Univers" w:hAnsi="Univers" w:cs="Times New Roman"/>
      <w:i/>
      <w:sz w:val="26"/>
      <w:lang w:val="eu-ES" w:eastAsia="x-none"/>
    </w:rPr>
  </w:style>
  <w:style w:type="table" w:styleId="Tablaconcuadrcula">
    <w:name w:val="Table Grid"/>
    <w:basedOn w:val="Tablanormal"/>
    <w:uiPriority w:val="59"/>
    <w:rsid w:val="00752690"/>
    <w:pPr>
      <w:widowControl w:val="0"/>
      <w:spacing w:after="0" w:line="240" w:lineRule="auto"/>
    </w:pPr>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3624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0</DocSecurity>
  <Lines>0</Lines>
  <Paragraphs>0</Paragraphs>
  <ScaleCrop>false</ScaleCrop>
  <Company>BFA/DFB</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cp:lastPrinted>2015-07-21T08:15:00Z</cp:lastPrinted>
  <cp:revision>2</cp:revision>
</cp:coreProperties>
</file>