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69" w:type="dxa"/>
        <w:tblInd w:w="-1" w:type="dxa"/>
        <w:tblLayout w:type="fixed"/>
        <w:tblCellMar>
          <w:left w:w="70" w:type="dxa"/>
          <w:right w:w="70" w:type="dxa"/>
        </w:tblCellMar>
        <w:tblLook w:val="0000" w:firstRow="0" w:lastRow="0" w:firstColumn="0" w:lastColumn="0" w:noHBand="0" w:noVBand="0"/>
      </w:tblPr>
      <w:tblGrid>
        <w:gridCol w:w="1489"/>
        <w:gridCol w:w="8080"/>
      </w:tblGrid>
      <w:tr w:rsidR="003D6558" w:rsidRPr="00797F10" w14:paraId="60D31AF5" w14:textId="77777777" w:rsidTr="00A65A44">
        <w:trPr>
          <w:cantSplit/>
          <w:tblHeader/>
        </w:trPr>
        <w:tc>
          <w:tcPr>
            <w:tcW w:w="9569" w:type="dxa"/>
            <w:gridSpan w:val="2"/>
            <w:tcBorders>
              <w:top w:val="single" w:sz="4" w:space="0" w:color="auto"/>
              <w:left w:val="single" w:sz="4" w:space="0" w:color="auto"/>
              <w:right w:val="single" w:sz="4" w:space="0" w:color="auto"/>
            </w:tcBorders>
            <w:shd w:val="pct10" w:color="auto" w:fill="auto"/>
          </w:tcPr>
          <w:p w14:paraId="378E1547" w14:textId="77777777" w:rsidR="003D6558" w:rsidRPr="00797F10" w:rsidRDefault="003D6558" w:rsidP="00A65A44">
            <w:pPr>
              <w:pStyle w:val="TituloBloque"/>
              <w:rPr>
                <w:rFonts w:ascii="Lato Light" w:eastAsia="Times New Roman" w:hAnsi="Lato Light"/>
                <w:i w:val="0"/>
                <w:sz w:val="22"/>
              </w:rPr>
            </w:pPr>
            <w:r w:rsidRPr="00797F10">
              <w:rPr>
                <w:rFonts w:ascii="Lato Light" w:eastAsia="Times New Roman" w:hAnsi="Lato Light"/>
                <w:i w:val="0"/>
                <w:color w:val="000000"/>
                <w:sz w:val="22"/>
              </w:rPr>
              <w:t>Espedientearen Datuak</w:t>
            </w:r>
            <w:r w:rsidRPr="00797F10">
              <w:rPr>
                <w:rFonts w:ascii="Lato Light" w:eastAsia="Times New Roman" w:hAnsi="Lato Light"/>
                <w:i w:val="0"/>
                <w:sz w:val="22"/>
              </w:rPr>
              <w:t xml:space="preserve"> / </w:t>
            </w:r>
            <w:r w:rsidRPr="00797F10">
              <w:rPr>
                <w:rFonts w:ascii="Lato Light" w:eastAsia="Times New Roman" w:hAnsi="Lato Light"/>
                <w:b w:val="0"/>
                <w:bCs w:val="0"/>
                <w:i w:val="0"/>
                <w:sz w:val="22"/>
              </w:rPr>
              <w:t>Datos Expediente</w:t>
            </w:r>
          </w:p>
        </w:tc>
      </w:tr>
      <w:tr w:rsidR="003D6558" w:rsidRPr="00797F10" w14:paraId="2E7A45E0" w14:textId="77777777" w:rsidTr="00A65A44">
        <w:trPr>
          <w:cantSplit/>
        </w:trPr>
        <w:tc>
          <w:tcPr>
            <w:tcW w:w="1489" w:type="dxa"/>
            <w:tcBorders>
              <w:top w:val="single" w:sz="4" w:space="0" w:color="auto"/>
              <w:left w:val="single" w:sz="4" w:space="0" w:color="auto"/>
              <w:bottom w:val="single" w:sz="4" w:space="0" w:color="auto"/>
            </w:tcBorders>
          </w:tcPr>
          <w:p w14:paraId="1DBE24DD" w14:textId="77777777" w:rsidR="003D6558" w:rsidRPr="00797F10" w:rsidRDefault="003D6558" w:rsidP="00A65A44">
            <w:pPr>
              <w:pStyle w:val="EtiquetaEus"/>
              <w:rPr>
                <w:rFonts w:ascii="Lato Light" w:eastAsia="Times New Roman" w:hAnsi="Lato Light"/>
                <w:i w:val="0"/>
                <w:sz w:val="20"/>
                <w:szCs w:val="20"/>
              </w:rPr>
            </w:pPr>
            <w:proofErr w:type="spellStart"/>
            <w:r w:rsidRPr="00797F10">
              <w:rPr>
                <w:rFonts w:ascii="Lato Light" w:eastAsia="Times New Roman" w:hAnsi="Lato Light"/>
                <w:i w:val="0"/>
                <w:sz w:val="20"/>
                <w:szCs w:val="20"/>
              </w:rPr>
              <w:t>Espedientea</w:t>
            </w:r>
            <w:proofErr w:type="spellEnd"/>
          </w:p>
          <w:p w14:paraId="2298EF6E" w14:textId="77777777" w:rsidR="003D6558" w:rsidRPr="00797F10" w:rsidRDefault="003D6558" w:rsidP="00A65A44">
            <w:pPr>
              <w:pStyle w:val="EtiquetaCas"/>
              <w:rPr>
                <w:rFonts w:ascii="Lato Light" w:eastAsia="Times New Roman" w:hAnsi="Lato Light"/>
                <w:i w:val="0"/>
                <w:sz w:val="20"/>
                <w:szCs w:val="20"/>
              </w:rPr>
            </w:pPr>
            <w:r w:rsidRPr="00797F10">
              <w:rPr>
                <w:rFonts w:ascii="Lato Light" w:eastAsia="Times New Roman" w:hAnsi="Lato Light"/>
                <w:i w:val="0"/>
                <w:sz w:val="20"/>
                <w:szCs w:val="20"/>
              </w:rPr>
              <w:t>Expediente</w:t>
            </w:r>
          </w:p>
        </w:tc>
        <w:tc>
          <w:tcPr>
            <w:tcW w:w="8080" w:type="dxa"/>
            <w:tcBorders>
              <w:top w:val="single" w:sz="4" w:space="0" w:color="auto"/>
              <w:left w:val="nil"/>
              <w:bottom w:val="single" w:sz="4" w:space="0" w:color="auto"/>
              <w:right w:val="single" w:sz="4" w:space="0" w:color="auto"/>
            </w:tcBorders>
            <w:vAlign w:val="center"/>
          </w:tcPr>
          <w:p w14:paraId="60260AD4" w14:textId="77777777" w:rsidR="003D6558" w:rsidRPr="00797F10" w:rsidRDefault="003D6558" w:rsidP="00A65A44">
            <w:pPr>
              <w:pStyle w:val="Variable"/>
              <w:rPr>
                <w:rFonts w:ascii="Lato Light" w:eastAsia="Times New Roman" w:hAnsi="Lato Light"/>
                <w:sz w:val="20"/>
                <w:szCs w:val="20"/>
              </w:rPr>
            </w:pPr>
            <w:r w:rsidRPr="00797F10">
              <w:rPr>
                <w:rFonts w:ascii="Lato Light" w:eastAsia="Times New Roman" w:hAnsi="Lato Light"/>
                <w:sz w:val="20"/>
                <w:szCs w:val="20"/>
              </w:rPr>
              <w:fldChar w:fldCharType="begin"/>
            </w:r>
            <w:r w:rsidRPr="00797F10">
              <w:rPr>
                <w:rFonts w:ascii="Lato Light" w:eastAsia="Times New Roman" w:hAnsi="Lato Light"/>
                <w:sz w:val="20"/>
                <w:szCs w:val="20"/>
              </w:rPr>
              <w:instrText xml:space="preserve"> DOCVARIABLE EXPEDIENTE </w:instrText>
            </w:r>
            <w:r w:rsidRPr="00797F10">
              <w:rPr>
                <w:rFonts w:ascii="Lato Light" w:eastAsia="Times New Roman" w:hAnsi="Lato Light"/>
                <w:sz w:val="20"/>
                <w:szCs w:val="20"/>
              </w:rPr>
              <w:fldChar w:fldCharType="separate"/>
            </w:r>
            <w:r w:rsidRPr="00797F10">
              <w:rPr>
                <w:rFonts w:ascii="Lato Light" w:eastAsia="Times New Roman" w:hAnsi="Lato Light"/>
                <w:sz w:val="20"/>
                <w:szCs w:val="20"/>
              </w:rPr>
              <w:t>1020/2025-INF</w:t>
            </w:r>
            <w:r w:rsidRPr="00797F10">
              <w:rPr>
                <w:rFonts w:ascii="Lato Light" w:eastAsia="Times New Roman" w:hAnsi="Lato Light"/>
                <w:sz w:val="20"/>
                <w:szCs w:val="20"/>
              </w:rPr>
              <w:fldChar w:fldCharType="end"/>
            </w:r>
          </w:p>
        </w:tc>
      </w:tr>
      <w:tr w:rsidR="003D6558" w:rsidRPr="00797F10" w14:paraId="56B59576" w14:textId="77777777" w:rsidTr="00A65A44">
        <w:trPr>
          <w:cantSplit/>
          <w:trHeight w:val="155"/>
        </w:trPr>
        <w:tc>
          <w:tcPr>
            <w:tcW w:w="1489" w:type="dxa"/>
            <w:tcBorders>
              <w:top w:val="single" w:sz="4" w:space="0" w:color="auto"/>
              <w:left w:val="single" w:sz="4" w:space="0" w:color="auto"/>
            </w:tcBorders>
          </w:tcPr>
          <w:p w14:paraId="23D77A91" w14:textId="77777777" w:rsidR="003D6558" w:rsidRPr="00797F10" w:rsidRDefault="003D6558" w:rsidP="00A65A44">
            <w:pPr>
              <w:pStyle w:val="EtiquetaEus"/>
              <w:rPr>
                <w:rFonts w:ascii="Lato Light" w:eastAsia="Times New Roman" w:hAnsi="Lato Light"/>
                <w:i w:val="0"/>
                <w:sz w:val="20"/>
                <w:szCs w:val="20"/>
              </w:rPr>
            </w:pPr>
            <w:r w:rsidRPr="00797F10">
              <w:rPr>
                <w:rFonts w:ascii="Lato Light" w:eastAsia="Times New Roman" w:hAnsi="Lato Light"/>
                <w:i w:val="0"/>
                <w:sz w:val="20"/>
                <w:szCs w:val="20"/>
              </w:rPr>
              <w:t>Gaia</w:t>
            </w:r>
          </w:p>
        </w:tc>
        <w:tc>
          <w:tcPr>
            <w:tcW w:w="8080" w:type="dxa"/>
            <w:tcBorders>
              <w:top w:val="single" w:sz="4" w:space="0" w:color="auto"/>
              <w:left w:val="nil"/>
              <w:right w:val="single" w:sz="4" w:space="0" w:color="auto"/>
            </w:tcBorders>
          </w:tcPr>
          <w:p w14:paraId="1C85DE80" w14:textId="77777777" w:rsidR="003D6558" w:rsidRPr="00797F10" w:rsidRDefault="003D6558" w:rsidP="00A65A44">
            <w:pPr>
              <w:pStyle w:val="VariableEus"/>
              <w:rPr>
                <w:rFonts w:ascii="Lato Light" w:eastAsia="Times New Roman" w:hAnsi="Lato Light"/>
                <w:i w:val="0"/>
                <w:sz w:val="20"/>
                <w:szCs w:val="20"/>
              </w:rPr>
            </w:pPr>
            <w:r w:rsidRPr="00797F10">
              <w:rPr>
                <w:rFonts w:ascii="Lato Light" w:eastAsia="Times New Roman" w:hAnsi="Lato Light"/>
                <w:i w:val="0"/>
                <w:sz w:val="20"/>
                <w:szCs w:val="20"/>
              </w:rPr>
              <w:fldChar w:fldCharType="begin"/>
            </w:r>
            <w:r w:rsidRPr="00797F10">
              <w:rPr>
                <w:rFonts w:ascii="Lato Light" w:eastAsia="Times New Roman" w:hAnsi="Lato Light"/>
                <w:i w:val="0"/>
                <w:sz w:val="20"/>
                <w:szCs w:val="20"/>
              </w:rPr>
              <w:instrText xml:space="preserve"> DOCVARIABLE ASUNTOEU </w:instrText>
            </w:r>
            <w:r w:rsidRPr="00797F10">
              <w:rPr>
                <w:rFonts w:ascii="Lato Light" w:eastAsia="Times New Roman" w:hAnsi="Lato Light"/>
                <w:i w:val="0"/>
                <w:sz w:val="20"/>
                <w:szCs w:val="20"/>
              </w:rPr>
              <w:fldChar w:fldCharType="separate"/>
            </w:r>
            <w:r w:rsidRPr="00797F10">
              <w:rPr>
                <w:rFonts w:ascii="Lato Light" w:eastAsia="Times New Roman" w:hAnsi="Lato Light"/>
                <w:i w:val="0"/>
                <w:sz w:val="20"/>
                <w:szCs w:val="20"/>
              </w:rPr>
              <w:t>ITZULKETA-DESADOSTASUNEN TXOSTENA</w:t>
            </w:r>
            <w:r w:rsidRPr="00797F10">
              <w:rPr>
                <w:rFonts w:ascii="Lato Light" w:eastAsia="Times New Roman" w:hAnsi="Lato Light"/>
                <w:i w:val="0"/>
                <w:sz w:val="20"/>
                <w:szCs w:val="20"/>
              </w:rPr>
              <w:fldChar w:fldCharType="end"/>
            </w:r>
          </w:p>
        </w:tc>
      </w:tr>
      <w:tr w:rsidR="003D6558" w:rsidRPr="00797F10" w14:paraId="76AA97FA" w14:textId="77777777" w:rsidTr="00A65A44">
        <w:trPr>
          <w:cantSplit/>
          <w:trHeight w:val="155"/>
        </w:trPr>
        <w:tc>
          <w:tcPr>
            <w:tcW w:w="1489" w:type="dxa"/>
            <w:tcBorders>
              <w:left w:val="single" w:sz="4" w:space="0" w:color="auto"/>
              <w:bottom w:val="single" w:sz="4" w:space="0" w:color="auto"/>
            </w:tcBorders>
          </w:tcPr>
          <w:p w14:paraId="0F33BC38" w14:textId="77777777" w:rsidR="003D6558" w:rsidRPr="00797F10" w:rsidRDefault="003D6558" w:rsidP="00A65A44">
            <w:pPr>
              <w:pStyle w:val="EtiquetaCas"/>
              <w:rPr>
                <w:rFonts w:ascii="Lato Light" w:eastAsia="Times New Roman" w:hAnsi="Lato Light"/>
                <w:i w:val="0"/>
                <w:sz w:val="20"/>
                <w:szCs w:val="20"/>
              </w:rPr>
            </w:pPr>
            <w:r w:rsidRPr="00797F10">
              <w:rPr>
                <w:rFonts w:ascii="Lato Light" w:eastAsia="Times New Roman" w:hAnsi="Lato Light"/>
                <w:i w:val="0"/>
                <w:sz w:val="20"/>
                <w:szCs w:val="20"/>
              </w:rPr>
              <w:t>Asunto</w:t>
            </w:r>
          </w:p>
        </w:tc>
        <w:tc>
          <w:tcPr>
            <w:tcW w:w="8080" w:type="dxa"/>
            <w:tcBorders>
              <w:left w:val="nil"/>
              <w:bottom w:val="single" w:sz="4" w:space="0" w:color="auto"/>
              <w:right w:val="single" w:sz="4" w:space="0" w:color="auto"/>
            </w:tcBorders>
          </w:tcPr>
          <w:p w14:paraId="4EC8567B" w14:textId="77777777" w:rsidR="003D6558" w:rsidRPr="00797F10" w:rsidRDefault="003D6558" w:rsidP="00A65A44">
            <w:pPr>
              <w:pStyle w:val="VariableCas"/>
              <w:rPr>
                <w:rFonts w:ascii="Lato Light" w:eastAsia="Times New Roman" w:hAnsi="Lato Light"/>
                <w:i w:val="0"/>
                <w:sz w:val="20"/>
                <w:szCs w:val="20"/>
              </w:rPr>
            </w:pPr>
            <w:r w:rsidRPr="00797F10">
              <w:rPr>
                <w:rFonts w:ascii="Lato Light" w:eastAsia="Times New Roman" w:hAnsi="Lato Light"/>
                <w:i w:val="0"/>
                <w:sz w:val="20"/>
                <w:szCs w:val="20"/>
              </w:rPr>
              <w:fldChar w:fldCharType="begin"/>
            </w:r>
            <w:r w:rsidRPr="00797F10">
              <w:rPr>
                <w:rFonts w:ascii="Lato Light" w:eastAsia="Times New Roman" w:hAnsi="Lato Light"/>
                <w:i w:val="0"/>
                <w:sz w:val="20"/>
                <w:szCs w:val="20"/>
              </w:rPr>
              <w:instrText xml:space="preserve"> DOCVARIABLE ASUNTOCA </w:instrText>
            </w:r>
            <w:r w:rsidRPr="00797F10">
              <w:rPr>
                <w:rFonts w:ascii="Lato Light" w:eastAsia="Times New Roman" w:hAnsi="Lato Light"/>
                <w:i w:val="0"/>
                <w:sz w:val="20"/>
                <w:szCs w:val="20"/>
              </w:rPr>
              <w:fldChar w:fldCharType="separate"/>
            </w:r>
            <w:r w:rsidRPr="00797F10">
              <w:rPr>
                <w:rFonts w:ascii="Lato Light" w:eastAsia="Times New Roman" w:hAnsi="Lato Light"/>
                <w:i w:val="0"/>
                <w:sz w:val="20"/>
                <w:szCs w:val="20"/>
              </w:rPr>
              <w:t>INFORME DISCREPANCIAS REINTEGRO</w:t>
            </w:r>
            <w:r w:rsidRPr="00797F10">
              <w:rPr>
                <w:rFonts w:ascii="Lato Light" w:eastAsia="Times New Roman" w:hAnsi="Lato Light"/>
                <w:i w:val="0"/>
                <w:sz w:val="20"/>
                <w:szCs w:val="20"/>
              </w:rPr>
              <w:fldChar w:fldCharType="end"/>
            </w:r>
          </w:p>
        </w:tc>
      </w:tr>
    </w:tbl>
    <w:p w14:paraId="09955639" w14:textId="77777777" w:rsidR="003D6558" w:rsidRPr="00797F10" w:rsidRDefault="003D6558" w:rsidP="003D6558">
      <w:pPr>
        <w:pStyle w:val="SALTO"/>
        <w:rPr>
          <w:rFonts w:ascii="Lato Light" w:eastAsia="Times New Roman" w:hAnsi="Lato Light"/>
        </w:rPr>
      </w:pPr>
    </w:p>
    <w:p w14:paraId="41197AAF" w14:textId="77777777" w:rsidR="003D6558" w:rsidRPr="00B677F9" w:rsidRDefault="003D6558" w:rsidP="003D6558">
      <w:pPr>
        <w:pStyle w:val="Previo"/>
        <w:rPr>
          <w:rFonts w:ascii="Lato Light" w:eastAsia="Times New Roman" w:hAnsi="Lato Light"/>
        </w:rPr>
      </w:pPr>
    </w:p>
    <w:tbl>
      <w:tblPr>
        <w:tblW w:w="9571" w:type="dxa"/>
        <w:tblInd w:w="-1" w:type="dxa"/>
        <w:tblLayout w:type="fixed"/>
        <w:tblCellMar>
          <w:left w:w="70" w:type="dxa"/>
          <w:right w:w="70" w:type="dxa"/>
        </w:tblCellMar>
        <w:tblLook w:val="0000" w:firstRow="0" w:lastRow="0" w:firstColumn="0" w:lastColumn="0" w:noHBand="0" w:noVBand="0"/>
      </w:tblPr>
      <w:tblGrid>
        <w:gridCol w:w="4785"/>
        <w:gridCol w:w="4786"/>
      </w:tblGrid>
      <w:tr w:rsidR="003D6558" w:rsidRPr="00B677F9" w14:paraId="51781C76" w14:textId="77777777" w:rsidTr="00A65A44">
        <w:tc>
          <w:tcPr>
            <w:tcW w:w="9571" w:type="dxa"/>
            <w:gridSpan w:val="2"/>
            <w:tcBorders>
              <w:top w:val="single" w:sz="4" w:space="0" w:color="auto"/>
              <w:left w:val="single" w:sz="4" w:space="0" w:color="auto"/>
              <w:bottom w:val="single" w:sz="4" w:space="0" w:color="auto"/>
              <w:right w:val="single" w:sz="4" w:space="0" w:color="auto"/>
            </w:tcBorders>
            <w:shd w:val="pct10" w:color="auto" w:fill="auto"/>
          </w:tcPr>
          <w:p w14:paraId="38167AF7" w14:textId="77777777" w:rsidR="003D6558" w:rsidRPr="00B677F9" w:rsidRDefault="003D6558" w:rsidP="00A65A44">
            <w:pPr>
              <w:pStyle w:val="TituloBloque"/>
              <w:rPr>
                <w:rFonts w:ascii="Lato Light" w:eastAsia="Times New Roman" w:hAnsi="Lato Light"/>
                <w:i w:val="0"/>
                <w:sz w:val="22"/>
              </w:rPr>
            </w:pPr>
            <w:r w:rsidRPr="00B677F9">
              <w:rPr>
                <w:rFonts w:ascii="Lato Light" w:eastAsia="Times New Roman" w:hAnsi="Lato Light"/>
                <w:i w:val="0"/>
                <w:sz w:val="22"/>
              </w:rPr>
              <w:t xml:space="preserve">Txostena / </w:t>
            </w:r>
            <w:r w:rsidRPr="00B677F9">
              <w:rPr>
                <w:rFonts w:ascii="Lato Light" w:eastAsia="Times New Roman" w:hAnsi="Lato Light"/>
                <w:b w:val="0"/>
                <w:bCs w:val="0"/>
                <w:i w:val="0"/>
                <w:sz w:val="22"/>
              </w:rPr>
              <w:t>Informe</w:t>
            </w:r>
          </w:p>
        </w:tc>
      </w:tr>
      <w:tr w:rsidR="003D6558" w:rsidRPr="00B677F9" w14:paraId="4FA05BCC" w14:textId="77777777" w:rsidTr="00A65A44">
        <w:trPr>
          <w:trHeight w:val="221"/>
        </w:trPr>
        <w:tc>
          <w:tcPr>
            <w:tcW w:w="4785" w:type="dxa"/>
            <w:tcBorders>
              <w:bottom w:val="single" w:sz="4" w:space="0" w:color="auto"/>
            </w:tcBorders>
            <w:tcMar>
              <w:top w:w="284" w:type="dxa"/>
              <w:bottom w:w="170" w:type="dxa"/>
            </w:tcMar>
          </w:tcPr>
          <w:p w14:paraId="07E8C6B1" w14:textId="32095831" w:rsidR="003D6558" w:rsidRPr="00B677F9" w:rsidRDefault="003D6558" w:rsidP="00A65A44">
            <w:pPr>
              <w:pStyle w:val="TextoLibreEus"/>
              <w:rPr>
                <w:rFonts w:ascii="Lato Light" w:hAnsi="Lato Light"/>
              </w:rPr>
            </w:pPr>
            <w:r w:rsidRPr="00164880">
              <w:rPr>
                <w:rFonts w:ascii="Lato Light" w:hAnsi="Lato Light"/>
                <w:lang w:val="eu-ES"/>
              </w:rPr>
              <w:t xml:space="preserve">Espedientean dauden </w:t>
            </w:r>
            <w:proofErr w:type="spellStart"/>
            <w:r>
              <w:rPr>
                <w:rFonts w:ascii="Lato Light" w:hAnsi="Lato Light"/>
                <w:lang w:val="eu-ES"/>
              </w:rPr>
              <w:t>XXXXXXXX</w:t>
            </w:r>
            <w:r w:rsidRPr="00164880">
              <w:rPr>
                <w:rFonts w:ascii="Lato Light" w:hAnsi="Lato Light"/>
                <w:lang w:val="eu-ES"/>
              </w:rPr>
              <w:t>ko</w:t>
            </w:r>
            <w:proofErr w:type="spellEnd"/>
            <w:r w:rsidRPr="00164880">
              <w:rPr>
                <w:rFonts w:ascii="Lato Light" w:hAnsi="Lato Light"/>
                <w:lang w:val="eu-ES"/>
              </w:rPr>
              <w:t xml:space="preserve"> Udaleko idazkaritzaren eta kontu-hartzailetzaren txostenak ikusita, eta, horietan, udal-talde politikoei egindako ekarpenak itzultzeko prozedura hasteko eskumenari dagokionez desadostasuna dagoela antzemanda, honako hau jakinarazi behar da:</w:t>
            </w:r>
          </w:p>
        </w:tc>
        <w:tc>
          <w:tcPr>
            <w:tcW w:w="4786" w:type="dxa"/>
            <w:tcBorders>
              <w:left w:val="nil"/>
              <w:bottom w:val="single" w:sz="4" w:space="0" w:color="auto"/>
            </w:tcBorders>
            <w:tcMar>
              <w:top w:w="284" w:type="dxa"/>
              <w:bottom w:w="170" w:type="dxa"/>
            </w:tcMar>
          </w:tcPr>
          <w:p w14:paraId="081B3664" w14:textId="46A51A8C" w:rsidR="003D6558" w:rsidRDefault="003D6558" w:rsidP="00A65A44">
            <w:pPr>
              <w:pStyle w:val="TextoLibreCast"/>
              <w:rPr>
                <w:rFonts w:ascii="Lato Light" w:hAnsi="Lato Light"/>
              </w:rPr>
            </w:pPr>
            <w:r w:rsidRPr="00237F4F">
              <w:rPr>
                <w:rFonts w:ascii="Lato Light" w:hAnsi="Lato Light"/>
              </w:rPr>
              <w:t xml:space="preserve">Vistos los informes de secretaría e intervención del ayuntamiento de </w:t>
            </w:r>
            <w:r>
              <w:rPr>
                <w:rFonts w:ascii="Lato Light" w:hAnsi="Lato Light"/>
              </w:rPr>
              <w:t>XXXXXXXX</w:t>
            </w:r>
            <w:r w:rsidRPr="00237F4F">
              <w:rPr>
                <w:rFonts w:ascii="Lato Light" w:hAnsi="Lato Light"/>
              </w:rPr>
              <w:t xml:space="preserve"> obrantes en el expediente, en los que se aprecia una discrepancia </w:t>
            </w:r>
            <w:proofErr w:type="gramStart"/>
            <w:r w:rsidRPr="00237F4F">
              <w:rPr>
                <w:rFonts w:ascii="Lato Light" w:hAnsi="Lato Light"/>
              </w:rPr>
              <w:t>en relación a</w:t>
            </w:r>
            <w:proofErr w:type="gramEnd"/>
            <w:r w:rsidRPr="00237F4F">
              <w:rPr>
                <w:rFonts w:ascii="Lato Light" w:hAnsi="Lato Light"/>
              </w:rPr>
              <w:t xml:space="preserve"> la competencia para la incoación del procedimiento de reintegro de las aportaciones a los grupos políticos municipales, cabe informarse:</w:t>
            </w:r>
          </w:p>
          <w:p w14:paraId="170255C0" w14:textId="77777777" w:rsidR="003D6558" w:rsidRPr="00B677F9" w:rsidRDefault="003D6558" w:rsidP="00A65A44">
            <w:pPr>
              <w:pStyle w:val="TextoLibreCast"/>
              <w:rPr>
                <w:rFonts w:ascii="Lato Light" w:hAnsi="Lato Light"/>
              </w:rPr>
            </w:pPr>
          </w:p>
        </w:tc>
      </w:tr>
      <w:tr w:rsidR="003D6558" w:rsidRPr="00164880" w14:paraId="3C64E61E" w14:textId="77777777" w:rsidTr="00A65A44">
        <w:trPr>
          <w:trHeight w:val="221"/>
        </w:trPr>
        <w:tc>
          <w:tcPr>
            <w:tcW w:w="9571" w:type="dxa"/>
            <w:gridSpan w:val="2"/>
            <w:tcBorders>
              <w:top w:val="single" w:sz="4" w:space="0" w:color="auto"/>
              <w:left w:val="single" w:sz="4" w:space="0" w:color="auto"/>
              <w:bottom w:val="single" w:sz="4" w:space="0" w:color="auto"/>
              <w:right w:val="single" w:sz="4" w:space="0" w:color="auto"/>
            </w:tcBorders>
            <w:tcMar>
              <w:top w:w="284" w:type="dxa"/>
              <w:bottom w:w="170" w:type="dxa"/>
            </w:tcMar>
          </w:tcPr>
          <w:p w14:paraId="55EE9206" w14:textId="77777777" w:rsidR="003D6558" w:rsidRPr="00164880" w:rsidRDefault="003D6558" w:rsidP="00A65A44">
            <w:pPr>
              <w:pStyle w:val="TextoLibreCast"/>
              <w:jc w:val="center"/>
              <w:rPr>
                <w:rFonts w:ascii="Lato Light" w:hAnsi="Lato Light"/>
                <w:b/>
                <w:bCs/>
                <w:sz w:val="24"/>
                <w:szCs w:val="24"/>
              </w:rPr>
            </w:pPr>
            <w:r w:rsidRPr="00164880">
              <w:rPr>
                <w:rFonts w:ascii="Lato Light" w:hAnsi="Lato Light"/>
                <w:b/>
                <w:bCs/>
                <w:sz w:val="24"/>
                <w:szCs w:val="24"/>
              </w:rPr>
              <w:t>AURREKARIAK/</w:t>
            </w:r>
            <w:r>
              <w:rPr>
                <w:rFonts w:ascii="Lato Light" w:hAnsi="Lato Light"/>
                <w:b/>
                <w:bCs/>
                <w:sz w:val="24"/>
                <w:szCs w:val="24"/>
              </w:rPr>
              <w:t xml:space="preserve"> </w:t>
            </w:r>
            <w:r w:rsidRPr="00164880">
              <w:rPr>
                <w:rFonts w:ascii="Lato Light" w:hAnsi="Lato Light"/>
                <w:b/>
                <w:bCs/>
                <w:sz w:val="24"/>
                <w:szCs w:val="24"/>
              </w:rPr>
              <w:t>ANTECEDENTES</w:t>
            </w:r>
          </w:p>
        </w:tc>
      </w:tr>
      <w:tr w:rsidR="003D6558" w:rsidRPr="00B677F9" w14:paraId="54E191BC" w14:textId="77777777" w:rsidTr="00A65A44">
        <w:trPr>
          <w:trHeight w:val="221"/>
        </w:trPr>
        <w:tc>
          <w:tcPr>
            <w:tcW w:w="4785" w:type="dxa"/>
            <w:tcMar>
              <w:top w:w="284" w:type="dxa"/>
              <w:bottom w:w="170" w:type="dxa"/>
            </w:tcMar>
          </w:tcPr>
          <w:p w14:paraId="05DCE2FF" w14:textId="3AFFB241" w:rsidR="003D6558" w:rsidRPr="00B677F9" w:rsidRDefault="003D6558" w:rsidP="00A65A44">
            <w:pPr>
              <w:pStyle w:val="TextoLibreEus"/>
              <w:rPr>
                <w:rFonts w:ascii="Lato Light" w:hAnsi="Lato Light"/>
              </w:rPr>
            </w:pPr>
            <w:r w:rsidRPr="00164880">
              <w:rPr>
                <w:rFonts w:ascii="Lato Light" w:hAnsi="Lato Light"/>
                <w:lang w:val="eu-ES"/>
              </w:rPr>
              <w:t xml:space="preserve">Dirulaguntzei buruzko azaroaren 17ko 38/2003 Lege Orokorraren (DLO) 4. artikuluan toki-korporazioetako talde politikoentzako dirulaguntzak legearen aplikazio-eremutik kanpo geratu direnez eta horien berariazko arauketa-falta dagoenez, </w:t>
            </w:r>
            <w:proofErr w:type="spellStart"/>
            <w:r>
              <w:rPr>
                <w:rFonts w:ascii="Lato Light" w:hAnsi="Lato Light"/>
                <w:lang w:val="eu-ES"/>
              </w:rPr>
              <w:t>XXXXXXXX</w:t>
            </w:r>
            <w:r w:rsidRPr="00164880">
              <w:rPr>
                <w:rFonts w:ascii="Lato Light" w:hAnsi="Lato Light"/>
                <w:lang w:val="eu-ES"/>
              </w:rPr>
              <w:t>ko</w:t>
            </w:r>
            <w:proofErr w:type="spellEnd"/>
            <w:r w:rsidRPr="00164880">
              <w:rPr>
                <w:rFonts w:ascii="Lato Light" w:hAnsi="Lato Light"/>
                <w:lang w:val="eu-ES"/>
              </w:rPr>
              <w:t xml:space="preserve"> Udaleko </w:t>
            </w:r>
            <w:r w:rsidRPr="00164880">
              <w:rPr>
                <w:rFonts w:ascii="Lato Light" w:hAnsi="Lato Light"/>
                <w:b/>
                <w:bCs/>
                <w:lang w:val="eu-ES"/>
              </w:rPr>
              <w:t>idazkariak</w:t>
            </w:r>
            <w:r w:rsidRPr="00164880">
              <w:rPr>
                <w:rFonts w:ascii="Lato Light" w:hAnsi="Lato Light"/>
                <w:lang w:val="eu-ES"/>
              </w:rPr>
              <w:t xml:space="preserve"> egoki deritzo DLO </w:t>
            </w:r>
            <w:proofErr w:type="spellStart"/>
            <w:r w:rsidRPr="00164880">
              <w:rPr>
                <w:rFonts w:ascii="Lato Light" w:hAnsi="Lato Light"/>
                <w:lang w:val="eu-ES"/>
              </w:rPr>
              <w:t>analogikoki</w:t>
            </w:r>
            <w:proofErr w:type="spellEnd"/>
            <w:r w:rsidRPr="00164880">
              <w:rPr>
                <w:rFonts w:ascii="Lato Light" w:hAnsi="Lato Light"/>
                <w:lang w:val="eu-ES"/>
              </w:rPr>
              <w:t xml:space="preserve"> aplikatzeari eta, horrela, 41. artikuluan oinarrituta, jakinarazi du dirulaguntzak itzultzea eskatzeko eskumena organo emailearena dela. </w:t>
            </w:r>
          </w:p>
        </w:tc>
        <w:tc>
          <w:tcPr>
            <w:tcW w:w="4786" w:type="dxa"/>
            <w:tcBorders>
              <w:left w:val="nil"/>
            </w:tcBorders>
            <w:tcMar>
              <w:top w:w="284" w:type="dxa"/>
              <w:bottom w:w="170" w:type="dxa"/>
            </w:tcMar>
          </w:tcPr>
          <w:p w14:paraId="05FCF8CD" w14:textId="350F039F" w:rsidR="003D6558" w:rsidRPr="00B677F9" w:rsidRDefault="003D6558" w:rsidP="00A65A44">
            <w:pPr>
              <w:pStyle w:val="TextoLibreCast"/>
              <w:rPr>
                <w:rFonts w:ascii="Lato Light" w:hAnsi="Lato Light"/>
              </w:rPr>
            </w:pPr>
            <w:r w:rsidRPr="00237F4F">
              <w:rPr>
                <w:rFonts w:ascii="Lato Light" w:hAnsi="Lato Light"/>
              </w:rPr>
              <w:t>Ante la exclusión en el artículo 4 Ley 38/2003, de 17 de noviembre, General de Subvenciones (LGS) del ámbito de aplicación de la ley, de las subvenciones a los grupos políticos de las corporaciones locales y su falta de regulación expresa l</w:t>
            </w:r>
            <w:r w:rsidRPr="00237F4F">
              <w:rPr>
                <w:rFonts w:ascii="Lato Light" w:hAnsi="Lato Light"/>
                <w:b/>
                <w:bCs/>
              </w:rPr>
              <w:t>a secretaría</w:t>
            </w:r>
            <w:r w:rsidRPr="00237F4F">
              <w:rPr>
                <w:rFonts w:ascii="Lato Light" w:hAnsi="Lato Light"/>
              </w:rPr>
              <w:t xml:space="preserve"> del ayuntamiento de </w:t>
            </w:r>
            <w:r>
              <w:rPr>
                <w:rFonts w:ascii="Lato Light" w:hAnsi="Lato Light"/>
              </w:rPr>
              <w:t>XXXXXXXX</w:t>
            </w:r>
            <w:r w:rsidRPr="00237F4F">
              <w:rPr>
                <w:rFonts w:ascii="Lato Light" w:hAnsi="Lato Light"/>
              </w:rPr>
              <w:t xml:space="preserve"> considera oportuna la aplicación analógica de la LGS y así, en base a su artículo 41 informa que la competencia para exigir el reintegro de las subvenciones es el órgano concedente. </w:t>
            </w:r>
          </w:p>
        </w:tc>
      </w:tr>
      <w:tr w:rsidR="003D6558" w:rsidRPr="00B677F9" w14:paraId="31CD4CBB" w14:textId="77777777" w:rsidTr="00A65A44">
        <w:trPr>
          <w:trHeight w:val="221"/>
        </w:trPr>
        <w:tc>
          <w:tcPr>
            <w:tcW w:w="4785" w:type="dxa"/>
            <w:tcMar>
              <w:top w:w="284" w:type="dxa"/>
              <w:bottom w:w="170" w:type="dxa"/>
            </w:tcMar>
          </w:tcPr>
          <w:p w14:paraId="6CA0BB27" w14:textId="6453178C" w:rsidR="003D6558" w:rsidRPr="00B677F9" w:rsidRDefault="003D6558" w:rsidP="00A65A44">
            <w:pPr>
              <w:pStyle w:val="TextoLibreEus"/>
              <w:rPr>
                <w:rFonts w:ascii="Lato Light" w:hAnsi="Lato Light"/>
              </w:rPr>
            </w:pPr>
            <w:r w:rsidRPr="00164880">
              <w:rPr>
                <w:rFonts w:ascii="Lato Light" w:hAnsi="Lato Light"/>
                <w:lang w:val="eu-ES"/>
              </w:rPr>
              <w:t xml:space="preserve">Argudio horri eutsiz, eta kontuan hartuta hilero, </w:t>
            </w:r>
            <w:proofErr w:type="spellStart"/>
            <w:r>
              <w:rPr>
                <w:rFonts w:ascii="Lato Light" w:hAnsi="Lato Light"/>
                <w:lang w:val="eu-ES"/>
              </w:rPr>
              <w:t>XXXXXXXX</w:t>
            </w:r>
            <w:r w:rsidRPr="00164880">
              <w:rPr>
                <w:rFonts w:ascii="Lato Light" w:hAnsi="Lato Light"/>
                <w:lang w:val="eu-ES"/>
              </w:rPr>
              <w:t>ko</w:t>
            </w:r>
            <w:proofErr w:type="spellEnd"/>
            <w:r w:rsidRPr="00164880">
              <w:rPr>
                <w:rFonts w:ascii="Lato Light" w:hAnsi="Lato Light"/>
                <w:lang w:val="eu-ES"/>
              </w:rPr>
              <w:t xml:space="preserve"> Udalean, dekretu bat ematen dela alderdi politikoei dagokien dirulaguntza ordaintzeko, uste du alkatea dela organo emailea, eta jakinarazi du </w:t>
            </w:r>
            <w:r w:rsidRPr="00164880">
              <w:rPr>
                <w:rFonts w:ascii="Lato Light" w:hAnsi="Lato Light"/>
                <w:lang w:val="eu-ES"/>
              </w:rPr>
              <w:lastRenderedPageBreak/>
              <w:t>osoko bilkurak urtero esleitzen duela zuzkidura ekonomikoa aurrekontuan, baina alkatea dela udal-talde politiko bakoitzari hilero dirulaguntza ematen dion organoa.</w:t>
            </w:r>
          </w:p>
        </w:tc>
        <w:tc>
          <w:tcPr>
            <w:tcW w:w="4786" w:type="dxa"/>
            <w:tcBorders>
              <w:left w:val="nil"/>
            </w:tcBorders>
            <w:tcMar>
              <w:top w:w="284" w:type="dxa"/>
              <w:bottom w:w="170" w:type="dxa"/>
            </w:tcMar>
          </w:tcPr>
          <w:p w14:paraId="6D38A98C" w14:textId="43AE65DA" w:rsidR="003D6558" w:rsidRPr="00B677F9" w:rsidRDefault="003D6558" w:rsidP="00A65A44">
            <w:pPr>
              <w:pStyle w:val="TextoLibreCast"/>
              <w:rPr>
                <w:rFonts w:ascii="Lato Light" w:hAnsi="Lato Light"/>
              </w:rPr>
            </w:pPr>
            <w:r w:rsidRPr="00237F4F">
              <w:rPr>
                <w:rFonts w:ascii="Lato Light" w:hAnsi="Lato Light"/>
              </w:rPr>
              <w:lastRenderedPageBreak/>
              <w:t xml:space="preserve">Siguiendo con este argumento, y teniendo en cuenta que todos los meses se emite en el ayuntamiento de </w:t>
            </w:r>
            <w:r>
              <w:rPr>
                <w:rFonts w:ascii="Lato Light" w:hAnsi="Lato Light"/>
              </w:rPr>
              <w:t>XXXXXXXX</w:t>
            </w:r>
            <w:r w:rsidRPr="00237F4F">
              <w:rPr>
                <w:rFonts w:ascii="Lato Light" w:hAnsi="Lato Light"/>
              </w:rPr>
              <w:t xml:space="preserve"> un decreto para el pago de la subvención correspondiente a los </w:t>
            </w:r>
            <w:r w:rsidRPr="00237F4F">
              <w:rPr>
                <w:rFonts w:ascii="Lato Light" w:hAnsi="Lato Light"/>
              </w:rPr>
              <w:lastRenderedPageBreak/>
              <w:t>partidos políticos, considera que el órgano concedente es alcaldía, y así informa que el pleno asigna anualmente una dotación económica en el presupuesto pero que es alcaldía el órgano que concede mensualmente la subvención a cada grupo político municipal.</w:t>
            </w:r>
          </w:p>
        </w:tc>
      </w:tr>
      <w:tr w:rsidR="003D6558" w:rsidRPr="00B677F9" w14:paraId="4ACA317D" w14:textId="77777777" w:rsidTr="00A65A44">
        <w:trPr>
          <w:trHeight w:val="221"/>
        </w:trPr>
        <w:tc>
          <w:tcPr>
            <w:tcW w:w="4785" w:type="dxa"/>
            <w:tcMar>
              <w:top w:w="284" w:type="dxa"/>
              <w:bottom w:w="170" w:type="dxa"/>
            </w:tcMar>
          </w:tcPr>
          <w:p w14:paraId="2C0578ED" w14:textId="77777777" w:rsidR="003D6558" w:rsidRPr="003D6558" w:rsidRDefault="003D6558" w:rsidP="00A65A44">
            <w:pPr>
              <w:pStyle w:val="TextoLibreEus"/>
              <w:rPr>
                <w:rFonts w:ascii="Lato Light" w:hAnsi="Lato Light"/>
                <w:lang w:val="eu-ES"/>
              </w:rPr>
            </w:pPr>
            <w:r w:rsidRPr="00164880">
              <w:rPr>
                <w:rFonts w:ascii="Lato Light" w:hAnsi="Lato Light"/>
                <w:lang w:val="eu-ES"/>
              </w:rPr>
              <w:lastRenderedPageBreak/>
              <w:t xml:space="preserve">Bestalde, idazkariak argudiatu duenez, dirulaguntzei buruzko araudia aplikatzea onartu ezean, kontuan hartu beharko litzateke, araudi espezifikorik eza dela-eta, toki-araubideak ez duela jasota entitateko zein organori esleituko zaion, berariaz, itzulketa-espedienteen eskumena. Ondorioz, toki-araubidearen oinarriak arautu dituen apirilaren 2ko 7/1985 Legeak (aurrerantzean, TAOAL) 21.1 s) artikuluan bildutako hondar-klausula aplikatu behar da. Artikulu horrek, hain zuzen ere, alkateari </w:t>
            </w:r>
            <w:proofErr w:type="spellStart"/>
            <w:r w:rsidRPr="00164880">
              <w:rPr>
                <w:rFonts w:ascii="Lato Light" w:hAnsi="Lato Light"/>
                <w:lang w:val="eu-ES"/>
              </w:rPr>
              <w:t>aintzatesten</w:t>
            </w:r>
            <w:proofErr w:type="spellEnd"/>
            <w:r w:rsidRPr="00164880">
              <w:rPr>
                <w:rFonts w:ascii="Lato Light" w:hAnsi="Lato Light"/>
                <w:lang w:val="eu-ES"/>
              </w:rPr>
              <w:t xml:space="preserve"> dizkio, batetik, bereak dituen eskudantziak eta, bestetik, legediak udalerriari esleitzen dizkionak baina udal-organoa zehaztuta ez dutenak. Ondorio bera ateratzen da kontuan izanez gero eskumen hori aipatutako 21. artikuluko f) letraren generikoan barne dagoela, hau da, “kudeaketa ekonomikoaren garapena, onetsitako aurrekontuarekin bat etorriz”.</w:t>
            </w:r>
          </w:p>
        </w:tc>
        <w:tc>
          <w:tcPr>
            <w:tcW w:w="4786" w:type="dxa"/>
            <w:tcBorders>
              <w:left w:val="nil"/>
            </w:tcBorders>
            <w:tcMar>
              <w:top w:w="284" w:type="dxa"/>
              <w:bottom w:w="170" w:type="dxa"/>
            </w:tcMar>
          </w:tcPr>
          <w:p w14:paraId="68FCF184" w14:textId="77777777" w:rsidR="003D6558" w:rsidRPr="00B677F9" w:rsidRDefault="003D6558" w:rsidP="00A65A44">
            <w:pPr>
              <w:pStyle w:val="TextoLibreCast"/>
              <w:rPr>
                <w:rFonts w:ascii="Lato Light" w:hAnsi="Lato Light"/>
              </w:rPr>
            </w:pPr>
            <w:r w:rsidRPr="00237F4F">
              <w:rPr>
                <w:rFonts w:ascii="Lato Light" w:hAnsi="Lato Light"/>
              </w:rPr>
              <w:t>Por otro lado, argumenta la secretaría que de no admitirse la aplicación de la normativa de subvenciones debería tenerse en cuenta, ante la ausencia de normativa específica, que el régimen local no contempla la atribución expresa de competencia en expedientes de reintegro a ningún órgano de la entidad. En consecuencia, será de aplicación la cláusula residual contenida en el artículo 21.1 s) de la Ley 7/1985, de 2 de abril, Reguladora de las Bases del Régimen Local (en adelante, LRBRL), que reconoce a la Alcaldía las atribuciones que le son propias y aquellas que la legislación asigne al municipio y no atribuyan a otros órganos municipales. Igual conclusión se obtiene si se considera que tal competencia se encuentra comprendida en la genérica de la letra f) del artículo 21 citado, esto es, “el desarrollo de la gestión económica de acuerdo con el Presupuesto aprobado”.</w:t>
            </w:r>
          </w:p>
        </w:tc>
      </w:tr>
      <w:tr w:rsidR="003D6558" w:rsidRPr="00B677F9" w14:paraId="4CBB04DD" w14:textId="77777777" w:rsidTr="00A65A44">
        <w:trPr>
          <w:trHeight w:val="221"/>
        </w:trPr>
        <w:tc>
          <w:tcPr>
            <w:tcW w:w="4785" w:type="dxa"/>
            <w:tcMar>
              <w:top w:w="284" w:type="dxa"/>
              <w:bottom w:w="170" w:type="dxa"/>
            </w:tcMar>
          </w:tcPr>
          <w:p w14:paraId="49D96EC3" w14:textId="77777777" w:rsidR="003D6558" w:rsidRPr="003D6558" w:rsidRDefault="003D6558" w:rsidP="00A65A44">
            <w:pPr>
              <w:pStyle w:val="TextoLibreEus"/>
              <w:rPr>
                <w:rFonts w:ascii="Lato Light" w:hAnsi="Lato Light"/>
                <w:lang w:val="eu-ES"/>
              </w:rPr>
            </w:pPr>
            <w:r w:rsidRPr="00164880">
              <w:rPr>
                <w:rFonts w:ascii="Lato Light" w:hAnsi="Lato Light"/>
                <w:lang w:val="eu-ES"/>
              </w:rPr>
              <w:t xml:space="preserve">Azkenik, idazkaritzak Udalaren Erregelamendu Organikoaren zazpigarren xedapen gehigarrian oinarritzen du bere argudioa. Xedapen horrek, osoko bilkurak talde politikoei zuzkidura ekonomiko bat </w:t>
            </w:r>
            <w:r w:rsidRPr="00164880">
              <w:rPr>
                <w:rFonts w:ascii="Lato Light" w:hAnsi="Lato Light"/>
                <w:lang w:val="eu-ES"/>
              </w:rPr>
              <w:lastRenderedPageBreak/>
              <w:t>esleitu ahal izango diela arautu ondoren, honako hau jasotzen du azken apartatuan: “Alkate-lehendakariak beharrezkoak diren neurriak eta betearazpen-egintzak hartuko ditu, xedapen honetan ezarritako arauketa behar bezala aplikatzeko; ondoren, horien berri emango dio Osoko Bilkurari”. Azken paragrafo hori irakurrita, idazkaritzak ondorioztatzen du alkateari dagokiola itzulketak egiteko eskumena, egintza arautua den aldetik, ekarpenen araubidea behar bezala aplikatzeko betearazpen-egintza den aldetik.</w:t>
            </w:r>
          </w:p>
        </w:tc>
        <w:tc>
          <w:tcPr>
            <w:tcW w:w="4786" w:type="dxa"/>
            <w:tcBorders>
              <w:left w:val="nil"/>
            </w:tcBorders>
            <w:tcMar>
              <w:top w:w="284" w:type="dxa"/>
              <w:bottom w:w="170" w:type="dxa"/>
            </w:tcMar>
          </w:tcPr>
          <w:p w14:paraId="357B0D53" w14:textId="77777777" w:rsidR="003D6558" w:rsidRPr="00B677F9" w:rsidRDefault="003D6558" w:rsidP="00A65A44">
            <w:pPr>
              <w:pStyle w:val="TextoLibreCast"/>
              <w:rPr>
                <w:rFonts w:ascii="Lato Light" w:hAnsi="Lato Light"/>
              </w:rPr>
            </w:pPr>
            <w:r w:rsidRPr="00237F4F">
              <w:rPr>
                <w:rFonts w:ascii="Lato Light" w:hAnsi="Lato Light"/>
              </w:rPr>
              <w:lastRenderedPageBreak/>
              <w:t xml:space="preserve">Por último, secretaría basa su argumentación en la Disposición Adicional séptima del ROM que tras regular que el pleno podrá asignar una dotación económica a los grupos </w:t>
            </w:r>
            <w:proofErr w:type="gramStart"/>
            <w:r w:rsidRPr="00237F4F">
              <w:rPr>
                <w:rFonts w:ascii="Lato Light" w:hAnsi="Lato Light"/>
              </w:rPr>
              <w:t>políticos  recoge</w:t>
            </w:r>
            <w:proofErr w:type="gramEnd"/>
            <w:r w:rsidRPr="00237F4F">
              <w:rPr>
                <w:rFonts w:ascii="Lato Light" w:hAnsi="Lato Light"/>
              </w:rPr>
              <w:t xml:space="preserve"> en su </w:t>
            </w:r>
            <w:r w:rsidRPr="00237F4F">
              <w:rPr>
                <w:rFonts w:ascii="Lato Light" w:hAnsi="Lato Light"/>
              </w:rPr>
              <w:lastRenderedPageBreak/>
              <w:t>último apartado que: “</w:t>
            </w:r>
            <w:r w:rsidRPr="00237F4F">
              <w:rPr>
                <w:rFonts w:ascii="Lato Light" w:hAnsi="Lato Light"/>
                <w:i/>
                <w:iCs/>
              </w:rPr>
              <w:t xml:space="preserve">El </w:t>
            </w:r>
            <w:proofErr w:type="gramStart"/>
            <w:r w:rsidRPr="00237F4F">
              <w:rPr>
                <w:rFonts w:ascii="Lato Light" w:hAnsi="Lato Light"/>
                <w:i/>
                <w:iCs/>
              </w:rPr>
              <w:t>Alcalde Presidente</w:t>
            </w:r>
            <w:proofErr w:type="gramEnd"/>
            <w:r w:rsidRPr="00237F4F">
              <w:rPr>
                <w:rFonts w:ascii="Lato Light" w:hAnsi="Lato Light"/>
                <w:i/>
                <w:iCs/>
              </w:rPr>
              <w:t xml:space="preserve"> podrá adoptar las medidas y actos de ejecución que se precisen para la debida aplicación del Régimen previsto en esta Disposición, dando cuenta al Pleno”</w:t>
            </w:r>
            <w:r w:rsidRPr="00237F4F">
              <w:rPr>
                <w:rFonts w:ascii="Lato Light" w:hAnsi="Lato Light"/>
              </w:rPr>
              <w:t xml:space="preserve"> De la lectura de este último párrafo deduce secretaría que la competencia para el reintegro, en cuanto acto reglado, acto de ejecución para la debida aplicación del régimen de las aportaciones, corresponde a la Alcaldía.</w:t>
            </w:r>
          </w:p>
        </w:tc>
      </w:tr>
      <w:tr w:rsidR="003D6558" w:rsidRPr="00B677F9" w14:paraId="21F88FA2" w14:textId="77777777" w:rsidTr="00A65A44">
        <w:trPr>
          <w:trHeight w:val="221"/>
        </w:trPr>
        <w:tc>
          <w:tcPr>
            <w:tcW w:w="4785" w:type="dxa"/>
            <w:tcMar>
              <w:top w:w="284" w:type="dxa"/>
              <w:bottom w:w="170" w:type="dxa"/>
            </w:tcMar>
          </w:tcPr>
          <w:p w14:paraId="3DB678B6" w14:textId="77777777" w:rsidR="003D6558" w:rsidRPr="003D6558" w:rsidRDefault="003D6558" w:rsidP="00A65A44">
            <w:pPr>
              <w:pStyle w:val="TextoLibreEus"/>
              <w:rPr>
                <w:rFonts w:ascii="Lato Light" w:hAnsi="Lato Light"/>
                <w:lang w:val="eu-ES"/>
              </w:rPr>
            </w:pPr>
            <w:r w:rsidRPr="00164880">
              <w:rPr>
                <w:rFonts w:ascii="Lato Light" w:hAnsi="Lato Light"/>
                <w:lang w:val="eu-ES"/>
              </w:rPr>
              <w:lastRenderedPageBreak/>
              <w:t xml:space="preserve">Aitzitik, </w:t>
            </w:r>
            <w:r w:rsidRPr="00164880">
              <w:rPr>
                <w:rFonts w:ascii="Lato Light" w:hAnsi="Lato Light"/>
                <w:b/>
                <w:bCs/>
                <w:lang w:val="eu-ES"/>
              </w:rPr>
              <w:t>kontu-hartzailetzaren</w:t>
            </w:r>
            <w:r w:rsidRPr="00164880">
              <w:rPr>
                <w:rFonts w:ascii="Lato Light" w:hAnsi="Lato Light"/>
                <w:lang w:val="eu-ES"/>
              </w:rPr>
              <w:t xml:space="preserve"> ustez, dirulaguntzei buruzko araudia aplikatzea onartuta ere, ekarpenak emateko eskumena udaleko osoko bilkurari dagokio, </w:t>
            </w:r>
            <w:proofErr w:type="spellStart"/>
            <w:r w:rsidRPr="00164880">
              <w:rPr>
                <w:rFonts w:ascii="Lato Light" w:hAnsi="Lato Light"/>
                <w:lang w:val="eu-ES"/>
              </w:rPr>
              <w:t>TAOALen</w:t>
            </w:r>
            <w:proofErr w:type="spellEnd"/>
            <w:r w:rsidRPr="00164880">
              <w:rPr>
                <w:rFonts w:ascii="Lato Light" w:hAnsi="Lato Light"/>
                <w:lang w:val="eu-ES"/>
              </w:rPr>
              <w:t xml:space="preserve"> 73. artikuluak honako hau ezarri baitu: “udaleko osoko bilkurak, haren urteko aurrekontuen kargura, zuzkidura ekonomikoa esleitu ahal izango die talde politikoei”. Kontu-hartzailetzaren arabera, esleipen-egintza horrek ekarpenak ematea eragiten du, eta, beraz, alkatearen zeregin bakarra da taldeek sortutako zenbatekoen ordainketa burutzea; hala, “betebeharra onartzea” eta “ordainketa gauzatzea” esamoldeak baino ez dira bildu dekretuan, eta, ondorioz, dirulaguntzen ordainketa materiala bakarrik da alkatearen jomuga.</w:t>
            </w:r>
          </w:p>
        </w:tc>
        <w:tc>
          <w:tcPr>
            <w:tcW w:w="4786" w:type="dxa"/>
            <w:tcBorders>
              <w:left w:val="nil"/>
            </w:tcBorders>
            <w:tcMar>
              <w:top w:w="284" w:type="dxa"/>
              <w:bottom w:w="170" w:type="dxa"/>
            </w:tcMar>
          </w:tcPr>
          <w:p w14:paraId="1C41C393" w14:textId="77777777" w:rsidR="003D6558" w:rsidRPr="00B677F9" w:rsidRDefault="003D6558" w:rsidP="00A65A44">
            <w:pPr>
              <w:pStyle w:val="TextoLibreCast"/>
              <w:rPr>
                <w:rFonts w:ascii="Lato Light" w:hAnsi="Lato Light"/>
              </w:rPr>
            </w:pPr>
            <w:r w:rsidRPr="008218A9">
              <w:rPr>
                <w:rFonts w:ascii="Lato Light" w:hAnsi="Lato Light"/>
              </w:rPr>
              <w:t xml:space="preserve">Por el contrario, entiende la </w:t>
            </w:r>
            <w:r w:rsidRPr="008218A9">
              <w:rPr>
                <w:rFonts w:ascii="Lato Light" w:hAnsi="Lato Light"/>
                <w:b/>
                <w:bCs/>
              </w:rPr>
              <w:t>intervención</w:t>
            </w:r>
            <w:r w:rsidRPr="008218A9">
              <w:rPr>
                <w:rFonts w:ascii="Lato Light" w:hAnsi="Lato Light"/>
              </w:rPr>
              <w:t xml:space="preserve"> que, incluso aceptando la aplicación de la normativa de subvenciones, la competencia para la concesión de las aportaciones reside en el pleno municipal en cuanto que el artículo 73 de la LRBRL establece que “el Pleno de la corporación, con cargo a los Presupuestos anuales de la misma, podrá asignar a los grupos políticos una dotación económica”. Según intervención con este acto de asignación se produce la concesión de las aportaciones, correspondiendo por tanto a alcaldía únicamente realizar los abonos efectivos de las cantidades devengadas por los grupos; así, en el decreto se recogen únicamente las expresiones “reconocer la obligación” y “proceder al pago”, por lo que se trata únicamente de hacer efectivo el pago material de las subvenciones.</w:t>
            </w:r>
          </w:p>
        </w:tc>
      </w:tr>
      <w:tr w:rsidR="003D6558" w:rsidRPr="00B677F9" w14:paraId="5CBBB151" w14:textId="77777777" w:rsidTr="00A65A44">
        <w:trPr>
          <w:trHeight w:val="221"/>
        </w:trPr>
        <w:tc>
          <w:tcPr>
            <w:tcW w:w="4785" w:type="dxa"/>
            <w:tcMar>
              <w:top w:w="284" w:type="dxa"/>
              <w:bottom w:w="170" w:type="dxa"/>
            </w:tcMar>
          </w:tcPr>
          <w:p w14:paraId="57AAFA4A" w14:textId="77777777" w:rsidR="003D6558" w:rsidRPr="003D6558" w:rsidRDefault="003D6558" w:rsidP="00A65A44">
            <w:pPr>
              <w:pStyle w:val="TextoLibreEus"/>
              <w:rPr>
                <w:rFonts w:ascii="Lato Light" w:hAnsi="Lato Light"/>
                <w:lang w:val="eu-ES"/>
              </w:rPr>
            </w:pPr>
            <w:r w:rsidRPr="00164880">
              <w:rPr>
                <w:rFonts w:ascii="Lato Light" w:hAnsi="Lato Light"/>
                <w:lang w:val="eu-ES"/>
              </w:rPr>
              <w:t xml:space="preserve">Kontu-hartzailetzak aurrera egin du taldeen kontuak errendatzeari buruzko arau-xedapenak aztertuz, eta </w:t>
            </w:r>
            <w:r w:rsidRPr="00164880">
              <w:rPr>
                <w:rFonts w:ascii="Lato Light" w:hAnsi="Lato Light"/>
                <w:lang w:val="eu-ES"/>
              </w:rPr>
              <w:lastRenderedPageBreak/>
              <w:t>horietatik ondorioztatu du osoko bilkurak duela taldeen jarduera ekonomikoa kontrolatzeko eskumena. Honela dio hitzez hitz: “horren inguruko aipamen bat ere ez zaio egin alkatearen ezein eskumeni zentzu horretan. Erabat inkoherentea eta kontraesankorra izango litzateke, kontrol-eskudantzia guztiak osoko bilkurari egokituz gero, gero alkatea izango balitz organo eskudun kontrol-gaietan funtsezko erabakia hartzeko, hau da: jasotako zenbatekoak aplikatzearen justifikazioa apropostzat jotzea eta zuzenbidearekin bat datorren ala ez zehaztea, eta, horren arabera, itzulketa-prozedurari ekitea ala ez ebaztea”.</w:t>
            </w:r>
          </w:p>
        </w:tc>
        <w:tc>
          <w:tcPr>
            <w:tcW w:w="4786" w:type="dxa"/>
            <w:tcBorders>
              <w:left w:val="nil"/>
            </w:tcBorders>
            <w:tcMar>
              <w:top w:w="284" w:type="dxa"/>
              <w:bottom w:w="170" w:type="dxa"/>
            </w:tcMar>
          </w:tcPr>
          <w:p w14:paraId="5550CAD0" w14:textId="77777777" w:rsidR="003D6558" w:rsidRDefault="003D6558" w:rsidP="00A65A44">
            <w:pPr>
              <w:pStyle w:val="TextoLibreCast"/>
              <w:rPr>
                <w:rFonts w:ascii="Lato Light" w:hAnsi="Lato Light"/>
              </w:rPr>
            </w:pPr>
            <w:r w:rsidRPr="008218A9">
              <w:rPr>
                <w:rFonts w:ascii="Lato Light" w:hAnsi="Lato Light"/>
              </w:rPr>
              <w:lastRenderedPageBreak/>
              <w:t xml:space="preserve">Continúa intervención realizando un análisis de las diferentes previsiones normativas en el ámbito de </w:t>
            </w:r>
            <w:r w:rsidRPr="008218A9">
              <w:rPr>
                <w:rFonts w:ascii="Lato Light" w:hAnsi="Lato Light"/>
              </w:rPr>
              <w:lastRenderedPageBreak/>
              <w:t>la rendición de cuentas de los grupos y concluye que todas ellas apuntan hacia la competencia plenaria para el control de la actividad económica de l</w:t>
            </w:r>
            <w:r>
              <w:rPr>
                <w:rFonts w:ascii="Lato Light" w:hAnsi="Lato Light"/>
              </w:rPr>
              <w:t>o</w:t>
            </w:r>
            <w:r w:rsidRPr="008218A9">
              <w:rPr>
                <w:rFonts w:ascii="Lato Light" w:hAnsi="Lato Light"/>
              </w:rPr>
              <w:t>s mism</w:t>
            </w:r>
            <w:r>
              <w:rPr>
                <w:rFonts w:ascii="Lato Light" w:hAnsi="Lato Light"/>
              </w:rPr>
              <w:t>o</w:t>
            </w:r>
            <w:r w:rsidRPr="008218A9">
              <w:rPr>
                <w:rFonts w:ascii="Lato Light" w:hAnsi="Lato Light"/>
              </w:rPr>
              <w:t>s. Así, textualmente dice: “Ninguna mención al respecto se realiza a competencia alguna de la Alcaldía en este sentido. Resultaría absolutamente incoherente y contradictorio que, si todas las atribuciones de control se hacen recaer en el Pleno, fuera luego la Alcaldía Presidencia el órgano competente para adoptar la decisión fundamental en materia de control, a saber, la de considerar adecuada y conforme a derecho o no la justificación de la aplicación de las cantidades recibidas y, en virtud de esta consideración, incoar o no procedimiento de reintegro.”</w:t>
            </w:r>
          </w:p>
          <w:p w14:paraId="178176EA" w14:textId="77777777" w:rsidR="003D6558" w:rsidRPr="00B677F9" w:rsidRDefault="003D6558" w:rsidP="00A65A44">
            <w:pPr>
              <w:pStyle w:val="TextoLibreCast"/>
              <w:rPr>
                <w:rFonts w:ascii="Lato Light" w:hAnsi="Lato Light"/>
              </w:rPr>
            </w:pPr>
          </w:p>
        </w:tc>
      </w:tr>
      <w:tr w:rsidR="003D6558" w:rsidRPr="00164880" w14:paraId="1D169296" w14:textId="77777777" w:rsidTr="00A65A44">
        <w:trPr>
          <w:trHeight w:val="221"/>
        </w:trPr>
        <w:tc>
          <w:tcPr>
            <w:tcW w:w="9571" w:type="dxa"/>
            <w:gridSpan w:val="2"/>
            <w:tcBorders>
              <w:top w:val="single" w:sz="4" w:space="0" w:color="auto"/>
              <w:left w:val="single" w:sz="4" w:space="0" w:color="auto"/>
              <w:bottom w:val="single" w:sz="4" w:space="0" w:color="auto"/>
              <w:right w:val="single" w:sz="4" w:space="0" w:color="auto"/>
            </w:tcBorders>
            <w:tcMar>
              <w:top w:w="284" w:type="dxa"/>
              <w:bottom w:w="170" w:type="dxa"/>
            </w:tcMar>
          </w:tcPr>
          <w:p w14:paraId="278E671D" w14:textId="77777777" w:rsidR="003D6558" w:rsidRPr="00164880" w:rsidRDefault="003D6558" w:rsidP="00A65A44">
            <w:pPr>
              <w:pStyle w:val="TextoLibreCast"/>
              <w:jc w:val="center"/>
              <w:rPr>
                <w:rFonts w:ascii="Lato Light" w:hAnsi="Lato Light"/>
                <w:b/>
                <w:bCs/>
                <w:sz w:val="24"/>
                <w:szCs w:val="24"/>
              </w:rPr>
            </w:pPr>
            <w:r w:rsidRPr="00164880">
              <w:rPr>
                <w:rFonts w:ascii="Lato Light" w:hAnsi="Lato Light"/>
                <w:b/>
                <w:bCs/>
                <w:sz w:val="24"/>
                <w:szCs w:val="24"/>
              </w:rPr>
              <w:lastRenderedPageBreak/>
              <w:t>TXOSTENA/ INFORME</w:t>
            </w:r>
          </w:p>
        </w:tc>
      </w:tr>
      <w:tr w:rsidR="003D6558" w:rsidRPr="00B677F9" w14:paraId="6DC43146" w14:textId="77777777" w:rsidTr="00A65A44">
        <w:trPr>
          <w:trHeight w:val="221"/>
        </w:trPr>
        <w:tc>
          <w:tcPr>
            <w:tcW w:w="4785" w:type="dxa"/>
            <w:tcMar>
              <w:top w:w="284" w:type="dxa"/>
              <w:bottom w:w="170" w:type="dxa"/>
            </w:tcMar>
          </w:tcPr>
          <w:p w14:paraId="0602502C" w14:textId="77777777" w:rsidR="003D6558" w:rsidRPr="003D6558" w:rsidRDefault="003D6558" w:rsidP="00A65A44">
            <w:pPr>
              <w:pStyle w:val="TextoLibreEus"/>
              <w:rPr>
                <w:rFonts w:ascii="Lato Light" w:hAnsi="Lato Light"/>
                <w:lang w:val="eu-ES"/>
              </w:rPr>
            </w:pPr>
            <w:r w:rsidRPr="00164880">
              <w:rPr>
                <w:rFonts w:ascii="Lato Light" w:hAnsi="Lato Light"/>
                <w:lang w:val="eu-ES"/>
              </w:rPr>
              <w:t>Talde politikoei egindako ekarpenak arrazoitzeko posibilitateari dagokionez, arau-erreferentzia bakarra toki-araubidearen oinarriak arautu dituen apirilaren 2ko 7/1985 Legearen 73. artikuluan kokatuta dago. Izan ere, espedientearen datan indarrean zegoen erregulazioak (berriak ez du horren inguruko aldaketa handirik bilduta) ezartzen zuen talde politikoek zuzkiduraren kontabilitate espezifikoa eramatea, eta osoko bilkuraren eskura jartzea, hark eskatzen zuen guztietan.</w:t>
            </w:r>
          </w:p>
        </w:tc>
        <w:tc>
          <w:tcPr>
            <w:tcW w:w="4786" w:type="dxa"/>
            <w:tcBorders>
              <w:left w:val="nil"/>
            </w:tcBorders>
            <w:tcMar>
              <w:top w:w="284" w:type="dxa"/>
              <w:bottom w:w="170" w:type="dxa"/>
            </w:tcMar>
          </w:tcPr>
          <w:p w14:paraId="21CA6CFF" w14:textId="77777777" w:rsidR="003D6558" w:rsidRPr="00B677F9" w:rsidRDefault="003D6558" w:rsidP="00A65A44">
            <w:pPr>
              <w:pStyle w:val="TextoLibreCast"/>
              <w:rPr>
                <w:rFonts w:ascii="Lato Light" w:hAnsi="Lato Light"/>
              </w:rPr>
            </w:pPr>
            <w:r w:rsidRPr="008218A9">
              <w:rPr>
                <w:rFonts w:ascii="Lato Light" w:hAnsi="Lato Light"/>
              </w:rPr>
              <w:t xml:space="preserve">Respecto a la posible justificación de las aportaciones a grupos políticos la única referencia normativa se encuentra en el artículo 73 de la Ley 7/1985, de 2 de abril, Reguladora de las Bases del Régimen Local (LBRL), cuya regulación vigente en la fecha del expediente (la nueva regulación no recoge grandes cambios al respecto) exigía que los grupos políticos llevaran una contabilidad específica de la dotación, y su puesta a disposición del pleno siempre que este lo pidiera. </w:t>
            </w:r>
          </w:p>
        </w:tc>
      </w:tr>
      <w:tr w:rsidR="003D6558" w:rsidRPr="00B677F9" w14:paraId="6A1D303F" w14:textId="77777777" w:rsidTr="00A65A44">
        <w:trPr>
          <w:trHeight w:val="221"/>
        </w:trPr>
        <w:tc>
          <w:tcPr>
            <w:tcW w:w="4785" w:type="dxa"/>
            <w:tcMar>
              <w:top w:w="284" w:type="dxa"/>
              <w:bottom w:w="170" w:type="dxa"/>
            </w:tcMar>
          </w:tcPr>
          <w:p w14:paraId="1AA344F1" w14:textId="7CC53E13" w:rsidR="003D6558" w:rsidRPr="00B677F9" w:rsidRDefault="003D6558" w:rsidP="00A65A44">
            <w:pPr>
              <w:pStyle w:val="TextoLibreEus"/>
              <w:rPr>
                <w:rFonts w:ascii="Lato Light" w:hAnsi="Lato Light"/>
              </w:rPr>
            </w:pPr>
            <w:r w:rsidRPr="00164880">
              <w:rPr>
                <w:rFonts w:ascii="Lato Light" w:hAnsi="Lato Light"/>
                <w:lang w:val="eu-ES"/>
              </w:rPr>
              <w:lastRenderedPageBreak/>
              <w:t xml:space="preserve">Gai horri buruzko arauketa eskasa kontuan hartuta, </w:t>
            </w:r>
            <w:proofErr w:type="spellStart"/>
            <w:r>
              <w:rPr>
                <w:rFonts w:ascii="Lato Light" w:hAnsi="Lato Light"/>
                <w:lang w:val="eu-ES"/>
              </w:rPr>
              <w:t>XXXXXXXX</w:t>
            </w:r>
            <w:r w:rsidRPr="00164880">
              <w:rPr>
                <w:rFonts w:ascii="Lato Light" w:hAnsi="Lato Light"/>
                <w:lang w:val="eu-ES"/>
              </w:rPr>
              <w:t>ko</w:t>
            </w:r>
            <w:proofErr w:type="spellEnd"/>
            <w:r w:rsidRPr="00164880">
              <w:rPr>
                <w:rFonts w:ascii="Lato Light" w:hAnsi="Lato Light"/>
                <w:lang w:val="eu-ES"/>
              </w:rPr>
              <w:t xml:space="preserve"> Udaleko osoko bilkurak, Kontu Auzitegiak behin eta berriz emandako gomendioei jarraituz, besteak beste, 2022ko ekitaldian udal-taldeei esleitutako zuzkidura ekonomikoei dagokienez probintzia-hiriburuetako udalek gauzatu zuten jarduketen fiskalizazio-txostenaren 2. gomendioan jasotakoari jarraituz, aurrekontua betearazteko arauaren bigarren xedapen gehigarria onetsi zuen, udal-esleipenak justifikatzeko modua eta kontu-hartzailetzak egindako fiskalizazio-txostenak osoko bilkurari jakinarazteko beharra arautze aldera. Honela dago jasota:</w:t>
            </w:r>
          </w:p>
        </w:tc>
        <w:tc>
          <w:tcPr>
            <w:tcW w:w="4786" w:type="dxa"/>
            <w:tcBorders>
              <w:left w:val="nil"/>
            </w:tcBorders>
            <w:tcMar>
              <w:top w:w="284" w:type="dxa"/>
              <w:bottom w:w="170" w:type="dxa"/>
            </w:tcMar>
          </w:tcPr>
          <w:p w14:paraId="0498846E" w14:textId="2178A2E3" w:rsidR="003D6558" w:rsidRPr="00B677F9" w:rsidRDefault="003D6558" w:rsidP="00A65A44">
            <w:pPr>
              <w:pStyle w:val="TextoLibreCast"/>
              <w:rPr>
                <w:rFonts w:ascii="Lato Light" w:hAnsi="Lato Light"/>
              </w:rPr>
            </w:pPr>
            <w:r w:rsidRPr="008218A9">
              <w:rPr>
                <w:rFonts w:ascii="Lato Light" w:hAnsi="Lato Light"/>
              </w:rPr>
              <w:t xml:space="preserve">Teniendo en cuenta la escasa regulación normativa sobre esta materia, el pleno del ayuntamiento de </w:t>
            </w:r>
            <w:r>
              <w:rPr>
                <w:rFonts w:ascii="Lato Light" w:hAnsi="Lato Light"/>
              </w:rPr>
              <w:t>XXXXXXXX</w:t>
            </w:r>
            <w:r w:rsidRPr="008218A9">
              <w:rPr>
                <w:rFonts w:ascii="Lato Light" w:hAnsi="Lato Light"/>
              </w:rPr>
              <w:t xml:space="preserve"> siguiendo las reiteradas recomendaciones del Tribunal de Cuentas, entre otras la recogida en la recomendación </w:t>
            </w:r>
            <w:proofErr w:type="spellStart"/>
            <w:r w:rsidRPr="008218A9">
              <w:rPr>
                <w:rFonts w:ascii="Lato Light" w:hAnsi="Lato Light"/>
              </w:rPr>
              <w:t>nº</w:t>
            </w:r>
            <w:proofErr w:type="spellEnd"/>
            <w:r w:rsidRPr="008218A9">
              <w:rPr>
                <w:rFonts w:ascii="Lato Light" w:hAnsi="Lato Light"/>
              </w:rPr>
              <w:t xml:space="preserve"> 2 del Informe de fiscalización de las actuaciones realizadas por los ayuntamientos de municipios capitales de provincia en relación con las dotaciones económicas asignadas a los grupos municipales, ejercicio 2022, aprobó la Disposición adicional segunda de la Norma de ejecución presupuestaria (NEP) para regular la forma de justificación y la necesidad de dar cuenta al pleno de los informes emitidos por intervención de fiscalización de las asignaciones municipales, así se recoge:</w:t>
            </w:r>
          </w:p>
        </w:tc>
      </w:tr>
      <w:tr w:rsidR="003D6558" w:rsidRPr="00B677F9" w14:paraId="55B7FF76" w14:textId="77777777" w:rsidTr="00A65A44">
        <w:trPr>
          <w:trHeight w:val="221"/>
        </w:trPr>
        <w:tc>
          <w:tcPr>
            <w:tcW w:w="4785" w:type="dxa"/>
            <w:tcMar>
              <w:top w:w="284" w:type="dxa"/>
              <w:bottom w:w="170" w:type="dxa"/>
            </w:tcMar>
          </w:tcPr>
          <w:p w14:paraId="7CD0DB3E" w14:textId="203CF55F" w:rsidR="003D6558" w:rsidRPr="00B677F9" w:rsidRDefault="003D6558" w:rsidP="00A65A44">
            <w:pPr>
              <w:pStyle w:val="TextoLibreEus"/>
              <w:rPr>
                <w:rFonts w:ascii="Lato Light" w:hAnsi="Lato Light"/>
              </w:rPr>
            </w:pPr>
            <w:r w:rsidRPr="00164880">
              <w:rPr>
                <w:rFonts w:ascii="Lato Light" w:hAnsi="Lato Light"/>
                <w:lang w:val="eu-ES"/>
              </w:rPr>
              <w:t xml:space="preserve">“Onetsitako kontuak </w:t>
            </w:r>
            <w:proofErr w:type="spellStart"/>
            <w:r>
              <w:rPr>
                <w:rFonts w:ascii="Lato Light" w:hAnsi="Lato Light"/>
                <w:lang w:val="eu-ES"/>
              </w:rPr>
              <w:t>XXXXXXXX</w:t>
            </w:r>
            <w:r w:rsidRPr="00164880">
              <w:rPr>
                <w:rFonts w:ascii="Lato Light" w:hAnsi="Lato Light"/>
                <w:lang w:val="eu-ES"/>
              </w:rPr>
              <w:t>ko</w:t>
            </w:r>
            <w:proofErr w:type="spellEnd"/>
            <w:r w:rsidRPr="00164880">
              <w:rPr>
                <w:rFonts w:ascii="Lato Light" w:hAnsi="Lato Light"/>
                <w:lang w:val="eu-ES"/>
              </w:rPr>
              <w:t xml:space="preserve"> Udaleko kontu-hartzailetza nagusiari errendatuko zaizkio, eta hark kontrolatu eta fiskalizatu egingo ditu... Kontrol horren emaitza dagokion txostenean islatuko da, eta osoko bilkuraren jakinean ipiniko da”.</w:t>
            </w:r>
          </w:p>
        </w:tc>
        <w:tc>
          <w:tcPr>
            <w:tcW w:w="4786" w:type="dxa"/>
            <w:tcBorders>
              <w:left w:val="nil"/>
            </w:tcBorders>
            <w:tcMar>
              <w:top w:w="284" w:type="dxa"/>
              <w:bottom w:w="170" w:type="dxa"/>
            </w:tcMar>
          </w:tcPr>
          <w:p w14:paraId="7377CB1D" w14:textId="10E4F80F" w:rsidR="003D6558" w:rsidRPr="00B677F9" w:rsidRDefault="003D6558" w:rsidP="00A65A44">
            <w:pPr>
              <w:pStyle w:val="TextoLibreCast"/>
              <w:rPr>
                <w:rFonts w:ascii="Lato Light" w:hAnsi="Lato Light"/>
              </w:rPr>
            </w:pPr>
            <w:r w:rsidRPr="008218A9">
              <w:rPr>
                <w:rFonts w:ascii="Lato Light" w:hAnsi="Lato Light"/>
              </w:rPr>
              <w:t xml:space="preserve">“Las cuentas aprobadas se rendirán ante la Intervención General del Ayuntamiento de </w:t>
            </w:r>
            <w:r>
              <w:rPr>
                <w:rFonts w:ascii="Lato Light" w:hAnsi="Lato Light"/>
              </w:rPr>
              <w:t>XXXXXXXX</w:t>
            </w:r>
            <w:r w:rsidRPr="008218A9">
              <w:rPr>
                <w:rFonts w:ascii="Lato Light" w:hAnsi="Lato Light"/>
              </w:rPr>
              <w:t>, que procederá a su control y fiscalización…. El resultado de dicho control se plasmará en el correspondiente informe, del que se dará cuenta al Pleno”.</w:t>
            </w:r>
          </w:p>
        </w:tc>
      </w:tr>
      <w:tr w:rsidR="003D6558" w:rsidRPr="00B677F9" w14:paraId="03C9427D" w14:textId="77777777" w:rsidTr="00A65A44">
        <w:trPr>
          <w:trHeight w:val="221"/>
        </w:trPr>
        <w:tc>
          <w:tcPr>
            <w:tcW w:w="4785" w:type="dxa"/>
            <w:tcMar>
              <w:top w:w="284" w:type="dxa"/>
              <w:bottom w:w="170" w:type="dxa"/>
            </w:tcMar>
          </w:tcPr>
          <w:p w14:paraId="0ED02950" w14:textId="77777777" w:rsidR="003D6558" w:rsidRPr="00B677F9" w:rsidRDefault="003D6558" w:rsidP="00A65A44">
            <w:pPr>
              <w:pStyle w:val="TextoLibreEus"/>
              <w:rPr>
                <w:rFonts w:ascii="Lato Light" w:hAnsi="Lato Light"/>
              </w:rPr>
            </w:pPr>
            <w:r w:rsidRPr="00164880">
              <w:rPr>
                <w:rFonts w:ascii="Lato Light" w:hAnsi="Lato Light"/>
                <w:lang w:val="eu-ES"/>
              </w:rPr>
              <w:t>Horrenbestez, badakusagu aurrekontua betearazteko arauaren arabera, udal-taldeen justifikazioko kontuak kontu-hartzailetzaren bidez jakinarazi behar direla, eta osoko bilkurara bidali. Gainera, inola ere ez da arautuko alkateak aurretiaz jasotzea kontuen berri.</w:t>
            </w:r>
          </w:p>
        </w:tc>
        <w:tc>
          <w:tcPr>
            <w:tcW w:w="4786" w:type="dxa"/>
            <w:tcBorders>
              <w:left w:val="nil"/>
            </w:tcBorders>
            <w:tcMar>
              <w:top w:w="284" w:type="dxa"/>
              <w:bottom w:w="170" w:type="dxa"/>
            </w:tcMar>
          </w:tcPr>
          <w:p w14:paraId="62CD9490" w14:textId="77777777" w:rsidR="003D6558" w:rsidRPr="00B677F9" w:rsidRDefault="003D6558" w:rsidP="00A65A44">
            <w:pPr>
              <w:pStyle w:val="TextoLibreCast"/>
              <w:rPr>
                <w:rFonts w:ascii="Lato Light" w:hAnsi="Lato Light"/>
              </w:rPr>
            </w:pPr>
            <w:r w:rsidRPr="008218A9">
              <w:rPr>
                <w:rFonts w:ascii="Lato Light" w:hAnsi="Lato Light"/>
              </w:rPr>
              <w:t>Vemos, por tanto, que según la NEP las cuentas justificativas de los grupos municipales deben ser informadas por intervención y remitidas al pleno sin que en ningún caso se regule que la alcaldía tenga conocimiento previo de las mismas.</w:t>
            </w:r>
          </w:p>
        </w:tc>
      </w:tr>
      <w:tr w:rsidR="003D6558" w:rsidRPr="008218A9" w14:paraId="116AFA91" w14:textId="77777777" w:rsidTr="00A65A44">
        <w:trPr>
          <w:trHeight w:val="221"/>
        </w:trPr>
        <w:tc>
          <w:tcPr>
            <w:tcW w:w="4785" w:type="dxa"/>
            <w:tcMar>
              <w:top w:w="284" w:type="dxa"/>
              <w:bottom w:w="170" w:type="dxa"/>
            </w:tcMar>
          </w:tcPr>
          <w:p w14:paraId="5B0877A5" w14:textId="77777777" w:rsidR="003D6558" w:rsidRPr="00164880" w:rsidRDefault="003D6558" w:rsidP="00A65A44">
            <w:pPr>
              <w:pStyle w:val="TextoLibreEus"/>
              <w:rPr>
                <w:rFonts w:ascii="Lato Light" w:hAnsi="Lato Light"/>
                <w:lang w:val="eu-ES"/>
              </w:rPr>
            </w:pPr>
            <w:r w:rsidRPr="00A46704">
              <w:rPr>
                <w:rFonts w:ascii="Lato Light" w:hAnsi="Lato Light"/>
                <w:lang w:val="eu-ES"/>
              </w:rPr>
              <w:t xml:space="preserve">Erregulazio handiagorik ez dagoenez, uste dugu </w:t>
            </w:r>
            <w:r w:rsidRPr="00A46704">
              <w:rPr>
                <w:rFonts w:ascii="Lato Light" w:hAnsi="Lato Light"/>
                <w:lang w:val="eu-ES"/>
              </w:rPr>
              <w:lastRenderedPageBreak/>
              <w:t xml:space="preserve">alkatetzak osoko bilkurari emango diola kontu-hartzailetzaren txostenaren berri, eta osoko bilkurak, hala badagokio, eskatuko duela eskura jartzeko talde politikoentzako zuzkiduraren kontabilitate espezifikoa. Ondoren, uste dugu osoko bilkurak </w:t>
            </w:r>
            <w:r w:rsidRPr="00A46704">
              <w:rPr>
                <w:rFonts w:ascii="Lato Light" w:hAnsi="Lato Light"/>
                <w:b/>
                <w:bCs/>
                <w:i/>
                <w:iCs/>
                <w:lang w:val="eu-ES"/>
              </w:rPr>
              <w:t>justifikazio-kontuak onartuko ditu</w:t>
            </w:r>
            <w:r w:rsidRPr="00A46704">
              <w:rPr>
                <w:rFonts w:ascii="Lato Light" w:hAnsi="Lato Light"/>
                <w:lang w:val="eu-ES"/>
              </w:rPr>
              <w:t xml:space="preserve">ela, barne-kontroleko txostenak kontuan hartuta, edo, hala badagokio, </w:t>
            </w:r>
            <w:r w:rsidRPr="00A46704">
              <w:rPr>
                <w:rFonts w:ascii="Lato Light" w:hAnsi="Lato Light"/>
                <w:b/>
                <w:bCs/>
                <w:i/>
                <w:iCs/>
                <w:lang w:val="eu-ES"/>
              </w:rPr>
              <w:t>itzultzeko</w:t>
            </w:r>
            <w:r w:rsidRPr="00A46704">
              <w:rPr>
                <w:rFonts w:ascii="Lato Light" w:hAnsi="Lato Light"/>
                <w:lang w:val="eu-ES"/>
              </w:rPr>
              <w:t xml:space="preserve"> eskatuko duela.</w:t>
            </w:r>
          </w:p>
        </w:tc>
        <w:tc>
          <w:tcPr>
            <w:tcW w:w="4786" w:type="dxa"/>
            <w:tcBorders>
              <w:left w:val="nil"/>
            </w:tcBorders>
            <w:tcMar>
              <w:top w:w="284" w:type="dxa"/>
              <w:bottom w:w="170" w:type="dxa"/>
            </w:tcMar>
          </w:tcPr>
          <w:p w14:paraId="6EE2E4A8" w14:textId="77777777" w:rsidR="003D6558" w:rsidRPr="008218A9" w:rsidRDefault="003D6558" w:rsidP="00A65A44">
            <w:pPr>
              <w:pStyle w:val="TextoLibreCast"/>
              <w:rPr>
                <w:rFonts w:ascii="Lato Light" w:hAnsi="Lato Light"/>
              </w:rPr>
            </w:pPr>
            <w:r w:rsidRPr="00A46704">
              <w:rPr>
                <w:rFonts w:ascii="Lato Light" w:hAnsi="Lato Light"/>
              </w:rPr>
              <w:lastRenderedPageBreak/>
              <w:t xml:space="preserve">Ante la falta de una mayor regulación, entendemos </w:t>
            </w:r>
            <w:r w:rsidRPr="00A46704">
              <w:rPr>
                <w:rFonts w:ascii="Lato Light" w:hAnsi="Lato Light"/>
              </w:rPr>
              <w:lastRenderedPageBreak/>
              <w:t xml:space="preserve">que la alcaldía dará cuenta al pleno del informe de intervención y el pleno solicitará, en su caso, la puesta a disposición de la contabilidad específica de la dotación a los grupos políticos. A continuación, entendemos que el pleno </w:t>
            </w:r>
            <w:r w:rsidRPr="00A46704">
              <w:rPr>
                <w:rFonts w:ascii="Lato Light" w:hAnsi="Lato Light"/>
                <w:b/>
                <w:bCs/>
                <w:i/>
                <w:iCs/>
              </w:rPr>
              <w:t>aprobará las cuentas justificativas</w:t>
            </w:r>
            <w:r w:rsidRPr="00A46704">
              <w:rPr>
                <w:rFonts w:ascii="Lato Light" w:hAnsi="Lato Light"/>
                <w:i/>
                <w:iCs/>
              </w:rPr>
              <w:t>, t</w:t>
            </w:r>
            <w:r w:rsidRPr="00A46704">
              <w:rPr>
                <w:rFonts w:ascii="Lato Light" w:hAnsi="Lato Light"/>
              </w:rPr>
              <w:t xml:space="preserve">eniendo en cuenta los informes de control interno, y/o </w:t>
            </w:r>
            <w:r w:rsidRPr="00A46704">
              <w:rPr>
                <w:rFonts w:ascii="Lato Light" w:hAnsi="Lato Light"/>
                <w:i/>
                <w:iCs/>
              </w:rPr>
              <w:t xml:space="preserve">exigirá, en su caso, </w:t>
            </w:r>
            <w:r w:rsidRPr="00A46704">
              <w:rPr>
                <w:rFonts w:ascii="Lato Light" w:hAnsi="Lato Light"/>
                <w:b/>
                <w:bCs/>
                <w:i/>
                <w:iCs/>
              </w:rPr>
              <w:t>la devolución.</w:t>
            </w:r>
          </w:p>
        </w:tc>
      </w:tr>
      <w:tr w:rsidR="003D6558" w:rsidRPr="00B677F9" w14:paraId="51B41382" w14:textId="77777777" w:rsidTr="00A65A44">
        <w:trPr>
          <w:trHeight w:val="221"/>
        </w:trPr>
        <w:tc>
          <w:tcPr>
            <w:tcW w:w="4785" w:type="dxa"/>
            <w:tcMar>
              <w:top w:w="284" w:type="dxa"/>
              <w:bottom w:w="170" w:type="dxa"/>
            </w:tcMar>
          </w:tcPr>
          <w:p w14:paraId="501B5821" w14:textId="77777777" w:rsidR="003D6558" w:rsidRPr="00B677F9" w:rsidRDefault="003D6558" w:rsidP="00A65A44">
            <w:pPr>
              <w:pStyle w:val="TextoLibreEus"/>
              <w:rPr>
                <w:rFonts w:ascii="Lato Light" w:hAnsi="Lato Light"/>
              </w:rPr>
            </w:pPr>
            <w:r w:rsidRPr="00164880">
              <w:rPr>
                <w:rFonts w:ascii="Lato Light" w:hAnsi="Lato Light"/>
                <w:lang w:val="eu-ES"/>
              </w:rPr>
              <w:lastRenderedPageBreak/>
              <w:t>Zentzu horretan, osoko bilkurak kontu horiek onesteko eta itzultzea eskatzeko daukan eskumena jaso du Kontu Auzitegiak, eta, gauzak horrela, aipatutako txostenaren 5. gomendioan, adibidez, hauxe aholkatu die udalei: “</w:t>
            </w:r>
            <w:r w:rsidRPr="00164880">
              <w:rPr>
                <w:rFonts w:ascii="Lato Light" w:hAnsi="Lato Light"/>
                <w:i/>
                <w:iCs/>
                <w:lang w:val="eu-ES"/>
              </w:rPr>
              <w:t xml:space="preserve">osoko bilkurek erregulartasunez egitea beharrezko jarduketak udal-taldeei esleitutako zuzkidurak behar bezala aplikatzen direla ziurtatzeko, hala nola </w:t>
            </w:r>
            <w:r w:rsidRPr="00164880">
              <w:rPr>
                <w:rFonts w:ascii="Lato Light" w:hAnsi="Lato Light"/>
                <w:b/>
                <w:bCs/>
                <w:i/>
                <w:iCs/>
                <w:lang w:val="eu-ES"/>
              </w:rPr>
              <w:t>justifikazioko kontuak ezagutaraztea eta onestea,</w:t>
            </w:r>
            <w:r w:rsidRPr="00164880">
              <w:rPr>
                <w:rFonts w:ascii="Lato Light" w:hAnsi="Lato Light"/>
                <w:i/>
                <w:iCs/>
                <w:lang w:val="eu-ES"/>
              </w:rPr>
              <w:t xml:space="preserve"> barne-kontroleko txostenak kontuan hartuta, eta gastatu gabeko gerakinak nahiz behar bezala justifikatu gabeko esleipenak </w:t>
            </w:r>
            <w:r w:rsidRPr="00164880">
              <w:rPr>
                <w:rFonts w:ascii="Lato Light" w:hAnsi="Lato Light"/>
                <w:b/>
                <w:bCs/>
                <w:i/>
                <w:iCs/>
                <w:lang w:val="eu-ES"/>
              </w:rPr>
              <w:t>itzultzea eskatzea</w:t>
            </w:r>
            <w:r w:rsidRPr="00164880">
              <w:rPr>
                <w:rFonts w:ascii="Lato Light" w:hAnsi="Lato Light"/>
                <w:lang w:val="eu-ES"/>
              </w:rPr>
              <w:t>”.</w:t>
            </w:r>
          </w:p>
        </w:tc>
        <w:tc>
          <w:tcPr>
            <w:tcW w:w="4786" w:type="dxa"/>
            <w:tcBorders>
              <w:left w:val="nil"/>
            </w:tcBorders>
            <w:tcMar>
              <w:top w:w="284" w:type="dxa"/>
              <w:bottom w:w="170" w:type="dxa"/>
            </w:tcMar>
          </w:tcPr>
          <w:p w14:paraId="4410C075" w14:textId="77777777" w:rsidR="003D6558" w:rsidRPr="00B677F9" w:rsidRDefault="003D6558" w:rsidP="00A65A44">
            <w:pPr>
              <w:pStyle w:val="TextoLibreCast"/>
              <w:rPr>
                <w:rFonts w:ascii="Lato Light" w:hAnsi="Lato Light"/>
              </w:rPr>
            </w:pPr>
            <w:r w:rsidRPr="008218A9">
              <w:rPr>
                <w:rFonts w:ascii="Lato Light" w:hAnsi="Lato Light"/>
              </w:rPr>
              <w:t xml:space="preserve">En este sentido, el Tribunal de Cuentas recoge la competencia del pleno en la aprobación de esas cuentas y en la exigencia de su devolución, así, por ejemplo, en la recomendación </w:t>
            </w:r>
            <w:proofErr w:type="spellStart"/>
            <w:r w:rsidRPr="008218A9">
              <w:rPr>
                <w:rFonts w:ascii="Lato Light" w:hAnsi="Lato Light"/>
              </w:rPr>
              <w:t>nº</w:t>
            </w:r>
            <w:proofErr w:type="spellEnd"/>
            <w:r w:rsidRPr="008218A9">
              <w:rPr>
                <w:rFonts w:ascii="Lato Light" w:hAnsi="Lato Light"/>
              </w:rPr>
              <w:t xml:space="preserve"> 5 del informe mencionado, aconseja a los ayuntamientos “</w:t>
            </w:r>
            <w:r w:rsidRPr="008218A9">
              <w:rPr>
                <w:rFonts w:ascii="Lato Light" w:hAnsi="Lato Light"/>
                <w:i/>
                <w:iCs/>
              </w:rPr>
              <w:t xml:space="preserve">que sus Plenos lleven a cabo con regularidad las actuaciones necesarias para asegurar la correcta aplicación de las dotaciones asignadas a los grupos municipales, como la toma de conocimiento y </w:t>
            </w:r>
            <w:r w:rsidRPr="008218A9">
              <w:rPr>
                <w:rFonts w:ascii="Lato Light" w:hAnsi="Lato Light"/>
                <w:b/>
                <w:bCs/>
                <w:i/>
                <w:iCs/>
              </w:rPr>
              <w:t>aprobación de las cuentas justificativas</w:t>
            </w:r>
            <w:r w:rsidRPr="008218A9">
              <w:rPr>
                <w:rFonts w:ascii="Lato Light" w:hAnsi="Lato Light"/>
                <w:i/>
                <w:iCs/>
              </w:rPr>
              <w:t xml:space="preserve">, teniendo en cuenta los informes de control interno, </w:t>
            </w:r>
            <w:r w:rsidRPr="008218A9">
              <w:rPr>
                <w:rFonts w:ascii="Lato Light" w:hAnsi="Lato Light"/>
                <w:b/>
                <w:bCs/>
                <w:i/>
                <w:iCs/>
              </w:rPr>
              <w:t>y la exigencia de la devolución</w:t>
            </w:r>
            <w:r w:rsidRPr="008218A9">
              <w:rPr>
                <w:rFonts w:ascii="Lato Light" w:hAnsi="Lato Light"/>
                <w:i/>
                <w:iCs/>
              </w:rPr>
              <w:t xml:space="preserve"> de los remanentes no gastados y del reintegro de las asignaciones no adecuadamente justificadas”.</w:t>
            </w:r>
          </w:p>
        </w:tc>
      </w:tr>
      <w:tr w:rsidR="003D6558" w:rsidRPr="00B677F9" w14:paraId="0B089F2D" w14:textId="77777777" w:rsidTr="00A65A44">
        <w:trPr>
          <w:trHeight w:val="221"/>
        </w:trPr>
        <w:tc>
          <w:tcPr>
            <w:tcW w:w="4785" w:type="dxa"/>
            <w:tcMar>
              <w:top w:w="284" w:type="dxa"/>
              <w:bottom w:w="170" w:type="dxa"/>
            </w:tcMar>
          </w:tcPr>
          <w:p w14:paraId="045D3540" w14:textId="77777777" w:rsidR="003D6558" w:rsidRPr="00B677F9" w:rsidRDefault="003D6558" w:rsidP="00A65A44">
            <w:pPr>
              <w:pStyle w:val="TextoLibreEus"/>
              <w:rPr>
                <w:rFonts w:ascii="Lato Light" w:hAnsi="Lato Light"/>
              </w:rPr>
            </w:pPr>
            <w:r w:rsidRPr="00164880">
              <w:rPr>
                <w:rFonts w:ascii="Lato Light" w:hAnsi="Lato Light"/>
                <w:lang w:val="eu-ES"/>
              </w:rPr>
              <w:t xml:space="preserve">Itzulketa benetan gauzatzea zein organoren eskumenekoa den galderari erreparatuz, berretsi daiteke alkatea dela erantzuna, hori guztia </w:t>
            </w:r>
            <w:proofErr w:type="spellStart"/>
            <w:r w:rsidRPr="00164880">
              <w:rPr>
                <w:rFonts w:ascii="Lato Light" w:hAnsi="Lato Light"/>
                <w:lang w:val="eu-ES"/>
              </w:rPr>
              <w:t>TAOALen</w:t>
            </w:r>
            <w:proofErr w:type="spellEnd"/>
            <w:r w:rsidRPr="00164880">
              <w:rPr>
                <w:rFonts w:ascii="Lato Light" w:hAnsi="Lato Light"/>
                <w:lang w:val="eu-ES"/>
              </w:rPr>
              <w:t xml:space="preserve"> 21. artikuluko r) letra dela bide, haren eskumenen artean honako hau baitago: “</w:t>
            </w:r>
            <w:r w:rsidRPr="00164880">
              <w:rPr>
                <w:rFonts w:ascii="Lato Light" w:hAnsi="Lato Light"/>
                <w:i/>
                <w:iCs/>
                <w:lang w:val="eu-ES"/>
              </w:rPr>
              <w:t xml:space="preserve">udalaren akordioak argitaratzeko, </w:t>
            </w:r>
            <w:r w:rsidRPr="00164880">
              <w:rPr>
                <w:rFonts w:ascii="Lato Light" w:hAnsi="Lato Light"/>
                <w:b/>
                <w:bCs/>
                <w:i/>
                <w:iCs/>
                <w:lang w:val="eu-ES"/>
              </w:rPr>
              <w:t>egikaritzeko</w:t>
            </w:r>
            <w:r w:rsidRPr="00164880">
              <w:rPr>
                <w:rFonts w:ascii="Lato Light" w:hAnsi="Lato Light"/>
                <w:i/>
                <w:iCs/>
                <w:lang w:val="eu-ES"/>
              </w:rPr>
              <w:t xml:space="preserve"> eta betearazteko agintzea</w:t>
            </w:r>
            <w:r w:rsidRPr="00164880">
              <w:rPr>
                <w:rFonts w:ascii="Lato Light" w:hAnsi="Lato Light"/>
                <w:lang w:val="eu-ES"/>
              </w:rPr>
              <w:t>”.</w:t>
            </w:r>
          </w:p>
        </w:tc>
        <w:tc>
          <w:tcPr>
            <w:tcW w:w="4786" w:type="dxa"/>
            <w:tcBorders>
              <w:left w:val="nil"/>
            </w:tcBorders>
            <w:tcMar>
              <w:top w:w="284" w:type="dxa"/>
              <w:bottom w:w="170" w:type="dxa"/>
            </w:tcMar>
          </w:tcPr>
          <w:p w14:paraId="06D0959F" w14:textId="77777777" w:rsidR="003D6558" w:rsidRPr="00B677F9" w:rsidRDefault="003D6558" w:rsidP="00A65A44">
            <w:pPr>
              <w:pStyle w:val="TextoLibreCast"/>
              <w:rPr>
                <w:rFonts w:ascii="Lato Light" w:hAnsi="Lato Light"/>
              </w:rPr>
            </w:pPr>
            <w:r w:rsidRPr="008218A9">
              <w:rPr>
                <w:rFonts w:ascii="Lato Light" w:hAnsi="Lato Light"/>
              </w:rPr>
              <w:t>En cuanto s a qué órgano compete la efectiva ejecución del reintegro puede afirmarse que sería alcaldía, todo ello en virtud del l apartado r) del artículo 21 de la LBRL que entre sus competencias recoge: “</w:t>
            </w:r>
            <w:r w:rsidRPr="008218A9">
              <w:rPr>
                <w:rFonts w:ascii="Lato Light" w:hAnsi="Lato Light"/>
                <w:i/>
                <w:iCs/>
              </w:rPr>
              <w:t xml:space="preserve">Ordenar la publicación, </w:t>
            </w:r>
            <w:r w:rsidRPr="008218A9">
              <w:rPr>
                <w:rFonts w:ascii="Lato Light" w:hAnsi="Lato Light"/>
                <w:b/>
                <w:bCs/>
                <w:i/>
                <w:iCs/>
              </w:rPr>
              <w:t>ejecución</w:t>
            </w:r>
            <w:r w:rsidRPr="008218A9">
              <w:rPr>
                <w:rFonts w:ascii="Lato Light" w:hAnsi="Lato Light"/>
                <w:i/>
                <w:iCs/>
              </w:rPr>
              <w:t xml:space="preserve"> y hacer cumplir los acuerdos del Ayuntamiento</w:t>
            </w:r>
            <w:r w:rsidRPr="008218A9">
              <w:rPr>
                <w:rFonts w:ascii="Lato Light" w:hAnsi="Lato Light"/>
              </w:rPr>
              <w:t>”.</w:t>
            </w:r>
          </w:p>
        </w:tc>
      </w:tr>
      <w:tr w:rsidR="003D6558" w:rsidRPr="00B677F9" w14:paraId="47FD4442" w14:textId="77777777" w:rsidTr="00A65A44">
        <w:trPr>
          <w:trHeight w:val="221"/>
        </w:trPr>
        <w:tc>
          <w:tcPr>
            <w:tcW w:w="4785" w:type="dxa"/>
            <w:tcMar>
              <w:top w:w="284" w:type="dxa"/>
              <w:bottom w:w="170" w:type="dxa"/>
            </w:tcMar>
          </w:tcPr>
          <w:p w14:paraId="64CF2D7A" w14:textId="77777777" w:rsidR="003D6558" w:rsidRPr="00B677F9" w:rsidRDefault="003D6558" w:rsidP="00A65A44">
            <w:pPr>
              <w:pStyle w:val="TextoLibreEus"/>
              <w:rPr>
                <w:rFonts w:ascii="Lato Light" w:hAnsi="Lato Light"/>
              </w:rPr>
            </w:pPr>
            <w:r w:rsidRPr="00164880">
              <w:rPr>
                <w:rFonts w:ascii="Lato Light" w:hAnsi="Lato Light"/>
                <w:lang w:val="eu-ES"/>
              </w:rPr>
              <w:t xml:space="preserve">Laburbilduz, horren inguruko berariazko arauketaren falta dela-eta, goiko argudioetatik ondorioztatu da </w:t>
            </w:r>
            <w:r w:rsidRPr="00164880">
              <w:rPr>
                <w:rFonts w:ascii="Lato Light" w:hAnsi="Lato Light"/>
                <w:lang w:val="eu-ES"/>
              </w:rPr>
              <w:lastRenderedPageBreak/>
              <w:t>prozedura egokia dela, kontu-hartzailetzaren kontrol-txostena osoko bilkurari helarazi ostean, organo horrek kontuak onestea, eta dirulaguntzak oker justifikatuz gero, itzulketari ekiteko prozedura izapidetzeko agintzea (alkateari dagokio).</w:t>
            </w:r>
          </w:p>
        </w:tc>
        <w:tc>
          <w:tcPr>
            <w:tcW w:w="4786" w:type="dxa"/>
            <w:tcBorders>
              <w:left w:val="nil"/>
            </w:tcBorders>
            <w:tcMar>
              <w:top w:w="284" w:type="dxa"/>
              <w:bottom w:w="170" w:type="dxa"/>
            </w:tcMar>
          </w:tcPr>
          <w:p w14:paraId="7B10A0FF" w14:textId="77777777" w:rsidR="003D6558" w:rsidRPr="00B677F9" w:rsidRDefault="003D6558" w:rsidP="00A65A44">
            <w:pPr>
              <w:pStyle w:val="TextoLibreCast"/>
              <w:rPr>
                <w:rFonts w:ascii="Lato Light" w:hAnsi="Lato Light"/>
              </w:rPr>
            </w:pPr>
            <w:r w:rsidRPr="008218A9">
              <w:rPr>
                <w:rFonts w:ascii="Lato Light" w:hAnsi="Lato Light"/>
              </w:rPr>
              <w:lastRenderedPageBreak/>
              <w:t xml:space="preserve">En conclusión, y a falta de una regulación expresa al respecto, de las anteriores argumentaciones se </w:t>
            </w:r>
            <w:r w:rsidRPr="008218A9">
              <w:rPr>
                <w:rFonts w:ascii="Lato Light" w:hAnsi="Lato Light"/>
              </w:rPr>
              <w:lastRenderedPageBreak/>
              <w:t xml:space="preserve">desprende que el procedimiento adecuado sería </w:t>
            </w:r>
            <w:proofErr w:type="gramStart"/>
            <w:r w:rsidRPr="008218A9">
              <w:rPr>
                <w:rFonts w:ascii="Lato Light" w:hAnsi="Lato Light"/>
              </w:rPr>
              <w:t>que</w:t>
            </w:r>
            <w:proofErr w:type="gramEnd"/>
            <w:r w:rsidRPr="008218A9">
              <w:rPr>
                <w:rFonts w:ascii="Lato Light" w:hAnsi="Lato Light"/>
              </w:rPr>
              <w:t xml:space="preserve"> tras el traslado del informe de control de intervención al pleno, este órgano aprobara las cuentas, y en caso de una defectuosa justificación de las subvenciones ordenara la tramitación del correspondiente procedimiento de incoación de reintegro, cuya ejecución correspondería a alcaldía.</w:t>
            </w:r>
          </w:p>
        </w:tc>
      </w:tr>
      <w:tr w:rsidR="003D6558" w:rsidRPr="00B677F9" w14:paraId="0D859D68" w14:textId="77777777" w:rsidTr="00A65A44">
        <w:trPr>
          <w:trHeight w:val="221"/>
        </w:trPr>
        <w:tc>
          <w:tcPr>
            <w:tcW w:w="4785" w:type="dxa"/>
            <w:tcMar>
              <w:top w:w="284" w:type="dxa"/>
              <w:bottom w:w="170" w:type="dxa"/>
            </w:tcMar>
          </w:tcPr>
          <w:p w14:paraId="5A3067EC" w14:textId="77777777" w:rsidR="003D6558" w:rsidRPr="003D6558" w:rsidRDefault="003D6558" w:rsidP="00A65A44">
            <w:pPr>
              <w:pStyle w:val="TextoLibreEus"/>
              <w:rPr>
                <w:rFonts w:ascii="Lato Light" w:hAnsi="Lato Light"/>
                <w:lang w:val="eu-ES"/>
              </w:rPr>
            </w:pPr>
            <w:r w:rsidRPr="00164880">
              <w:rPr>
                <w:rFonts w:ascii="Lato Light" w:hAnsi="Lato Light"/>
                <w:lang w:val="eu-ES"/>
              </w:rPr>
              <w:lastRenderedPageBreak/>
              <w:t>Badirudi zentzu horretan ulertu behar dela Udalaren Erregelamendu Organikoaren 7. xedapen gehigarrian jasotakoa, zeinaren arabera, ikusi dugun bezala, “Alkate-lehendakariak beharrezkoak diren neurriak eta betearazpen-egintzak hartuko ditu, xedapen honetan ezarritako arauketa behar bezala aplikatzeko; ondoren, horien berri emango dio Osoko Bilkurari”. Hala, xedapen hori irakurrita, interpreta daiteke udalaren osoko bilkurak zuzkidura ekonomiko bat esleitu ahal izango diela talde politikoei, eta alkate-udalburuak egingo dituela esleipen horiek ordaintzeko behar diren betearazpen-egintzak. Ezin da interpretatu, ordea, alkatea denik dirulaguntza emateko, kontuak kontrolatzeko eta onartzeko eta, hala badagokio, itzulketa-prozedura hasteko organo eskuduna, zazpigarren xedapen horrek berak osoko bilkurari gordetzen baitio justifikazio-kontabilitatea edozein unetan eskatzeko eskumena.</w:t>
            </w:r>
          </w:p>
        </w:tc>
        <w:tc>
          <w:tcPr>
            <w:tcW w:w="4786" w:type="dxa"/>
            <w:tcBorders>
              <w:left w:val="nil"/>
            </w:tcBorders>
            <w:tcMar>
              <w:top w:w="284" w:type="dxa"/>
              <w:bottom w:w="170" w:type="dxa"/>
            </w:tcMar>
          </w:tcPr>
          <w:p w14:paraId="0E0FC1AC" w14:textId="77777777" w:rsidR="003D6558" w:rsidRPr="00B677F9" w:rsidRDefault="003D6558" w:rsidP="00A65A44">
            <w:pPr>
              <w:pStyle w:val="TextoLibreCast"/>
              <w:rPr>
                <w:rFonts w:ascii="Lato Light" w:hAnsi="Lato Light"/>
              </w:rPr>
            </w:pPr>
            <w:r w:rsidRPr="008218A9">
              <w:rPr>
                <w:rFonts w:ascii="Lato Light" w:hAnsi="Lato Light"/>
              </w:rPr>
              <w:t>Parece que en este sentido debe entenderse lo recogido en la Disposición Adicional 7 del ROM, según la cual como hemos visto “</w:t>
            </w:r>
            <w:r w:rsidRPr="008218A9">
              <w:rPr>
                <w:rFonts w:ascii="Lato Light" w:hAnsi="Lato Light"/>
                <w:i/>
                <w:iCs/>
              </w:rPr>
              <w:t xml:space="preserve">El </w:t>
            </w:r>
            <w:proofErr w:type="gramStart"/>
            <w:r w:rsidRPr="008218A9">
              <w:rPr>
                <w:rFonts w:ascii="Lato Light" w:hAnsi="Lato Light"/>
                <w:i/>
                <w:iCs/>
              </w:rPr>
              <w:t>Alcald</w:t>
            </w:r>
            <w:r>
              <w:rPr>
                <w:rFonts w:ascii="Lato Light" w:hAnsi="Lato Light"/>
                <w:i/>
                <w:iCs/>
              </w:rPr>
              <w:t>e</w:t>
            </w:r>
            <w:proofErr w:type="gramEnd"/>
            <w:r>
              <w:rPr>
                <w:rFonts w:ascii="Lato Light" w:hAnsi="Lato Light"/>
                <w:i/>
                <w:iCs/>
              </w:rPr>
              <w:t>-</w:t>
            </w:r>
            <w:proofErr w:type="gramStart"/>
            <w:r w:rsidRPr="008218A9">
              <w:rPr>
                <w:rFonts w:ascii="Lato Light" w:hAnsi="Lato Light"/>
                <w:i/>
                <w:iCs/>
              </w:rPr>
              <w:t>Presidente</w:t>
            </w:r>
            <w:proofErr w:type="gramEnd"/>
            <w:r w:rsidRPr="008218A9">
              <w:rPr>
                <w:rFonts w:ascii="Lato Light" w:hAnsi="Lato Light"/>
                <w:i/>
                <w:iCs/>
              </w:rPr>
              <w:t xml:space="preserve"> podrá adoptar las medidas y actos de ejecución que se precisen para la debida aplicación del Régimen previsto en esta Disposición, dando cuenta al Pleno”.</w:t>
            </w:r>
            <w:r w:rsidRPr="008218A9">
              <w:rPr>
                <w:rFonts w:ascii="Lato Light" w:hAnsi="Lato Light"/>
              </w:rPr>
              <w:t xml:space="preserve"> Así, de la lectura de esta disposición parece interpretarse que el </w:t>
            </w:r>
            <w:r>
              <w:rPr>
                <w:rFonts w:ascii="Lato Light" w:hAnsi="Lato Light"/>
              </w:rPr>
              <w:t>p</w:t>
            </w:r>
            <w:r w:rsidRPr="008218A9">
              <w:rPr>
                <w:rFonts w:ascii="Lato Light" w:hAnsi="Lato Light"/>
              </w:rPr>
              <w:t xml:space="preserve">leno </w:t>
            </w:r>
            <w:r>
              <w:rPr>
                <w:rFonts w:ascii="Lato Light" w:hAnsi="Lato Light"/>
              </w:rPr>
              <w:t>m</w:t>
            </w:r>
            <w:r w:rsidRPr="008218A9">
              <w:rPr>
                <w:rFonts w:ascii="Lato Light" w:hAnsi="Lato Light"/>
              </w:rPr>
              <w:t xml:space="preserve">unicipal podrá asignar a los </w:t>
            </w:r>
            <w:r>
              <w:rPr>
                <w:rFonts w:ascii="Lato Light" w:hAnsi="Lato Light"/>
              </w:rPr>
              <w:t>g</w:t>
            </w:r>
            <w:r w:rsidRPr="008218A9">
              <w:rPr>
                <w:rFonts w:ascii="Lato Light" w:hAnsi="Lato Light"/>
              </w:rPr>
              <w:t xml:space="preserve">rupos </w:t>
            </w:r>
            <w:r>
              <w:rPr>
                <w:rFonts w:ascii="Lato Light" w:hAnsi="Lato Light"/>
              </w:rPr>
              <w:t>p</w:t>
            </w:r>
            <w:r w:rsidRPr="008218A9">
              <w:rPr>
                <w:rFonts w:ascii="Lato Light" w:hAnsi="Lato Light"/>
              </w:rPr>
              <w:t>olíticos una dotación económica y el alcalde-presidente llevará a cabo los actos de ejecución precisos para hacer efectivo el pago de dichas asignaciones, sin que pueda interpretarse, por tanto, que sea el alcalde el órgano competente de concesión de la subvención, de control, aprobación de las cuentas y en su caso de incoación del procedimiento de reintegro.</w:t>
            </w:r>
          </w:p>
        </w:tc>
      </w:tr>
      <w:tr w:rsidR="003D6558" w:rsidRPr="00B677F9" w14:paraId="0DE9E145" w14:textId="77777777" w:rsidTr="00A65A44">
        <w:trPr>
          <w:trHeight w:val="221"/>
        </w:trPr>
        <w:tc>
          <w:tcPr>
            <w:tcW w:w="4785" w:type="dxa"/>
            <w:tcMar>
              <w:top w:w="284" w:type="dxa"/>
              <w:bottom w:w="170" w:type="dxa"/>
            </w:tcMar>
          </w:tcPr>
          <w:p w14:paraId="59F461EA" w14:textId="7D12E728" w:rsidR="003D6558" w:rsidRPr="00164880" w:rsidRDefault="003D6558" w:rsidP="00A65A44">
            <w:pPr>
              <w:pStyle w:val="TextoLibreEus"/>
              <w:rPr>
                <w:rFonts w:ascii="Lato Light" w:hAnsi="Lato Light"/>
                <w:lang w:val="eu-ES"/>
              </w:rPr>
            </w:pPr>
            <w:r w:rsidRPr="00164880">
              <w:rPr>
                <w:rFonts w:ascii="Lato Light" w:hAnsi="Lato Light"/>
                <w:lang w:val="eu-ES"/>
              </w:rPr>
              <w:t xml:space="preserve">Azkenik, eta kontuan hartuta </w:t>
            </w:r>
            <w:proofErr w:type="spellStart"/>
            <w:r>
              <w:rPr>
                <w:rFonts w:ascii="Lato Light" w:hAnsi="Lato Light"/>
                <w:lang w:val="eu-ES"/>
              </w:rPr>
              <w:t>XXXXXXXX</w:t>
            </w:r>
            <w:r w:rsidRPr="00164880">
              <w:rPr>
                <w:rFonts w:ascii="Lato Light" w:hAnsi="Lato Light"/>
                <w:lang w:val="eu-ES"/>
              </w:rPr>
              <w:t>ko</w:t>
            </w:r>
            <w:proofErr w:type="spellEnd"/>
            <w:r w:rsidRPr="00164880">
              <w:rPr>
                <w:rFonts w:ascii="Lato Light" w:hAnsi="Lato Light"/>
                <w:lang w:val="eu-ES"/>
              </w:rPr>
              <w:t xml:space="preserve"> Udalean talde politikoei egindako ekarpenak itzultzeko prozedura hasi dela alkatetzaren dekretu bidez, Administrazio Publikoen Administrazio Prozedura </w:t>
            </w:r>
            <w:r w:rsidRPr="00164880">
              <w:rPr>
                <w:rFonts w:ascii="Lato Light" w:hAnsi="Lato Light"/>
                <w:lang w:val="eu-ES"/>
              </w:rPr>
              <w:lastRenderedPageBreak/>
              <w:t>Erkidearen urriaren 1eko 39/2015 Legearen 52.3 artikuluarekin bat, beharrezkoa izango da espedientea osoko bilkurara bidaltzea, itzulketa-prozeduraren hasiera baliozkotu dezan; izan ere, osoko bilkura, nahiz eta, alkatetzaren aldean, nagusitasun hierarkikoko organoa ez izan, argi dago ez garela Administrazio Publikoen Administrazio Prozedura Erkidearen Legearen 47.1.b) artikuluko erabateko deuseztasuneko kasu batez ari, zeren eta, jurisprudentziak zehaztu bezala, kasu hori zirt edo zart gerta dadin, eskumenik eza agerikoa izan behar baita, hots, “modu nabarmenean, bistakoan, argian eta eztabaidaezinean azaldu behar baita” (Auzitegi Gorenaren epaia, 2001eko maiatzaren 18koa). Hala, jurisprudentzian behin eta berriz esan da “ageriko” adjektiboak eskatzen duela eskumenik eza nabarmena eta argia izatea, eta aitorpen horrek dakartzan ondoreekiko proportzionala den larritasun-maila edukitzea. Ez dirudi, baina, espediente honetan halakorik azaldu denik.</w:t>
            </w:r>
          </w:p>
          <w:p w14:paraId="0F5D449F" w14:textId="77777777" w:rsidR="003D6558" w:rsidRPr="00B677F9" w:rsidRDefault="003D6558" w:rsidP="00A65A44">
            <w:pPr>
              <w:pStyle w:val="TextoLibreEus"/>
              <w:rPr>
                <w:rFonts w:ascii="Lato Light" w:hAnsi="Lato Light"/>
              </w:rPr>
            </w:pPr>
          </w:p>
        </w:tc>
        <w:tc>
          <w:tcPr>
            <w:tcW w:w="4786" w:type="dxa"/>
            <w:tcBorders>
              <w:left w:val="nil"/>
            </w:tcBorders>
            <w:tcMar>
              <w:top w:w="284" w:type="dxa"/>
              <w:bottom w:w="170" w:type="dxa"/>
            </w:tcMar>
          </w:tcPr>
          <w:p w14:paraId="081E4FD9" w14:textId="42D55240" w:rsidR="003D6558" w:rsidRPr="00B677F9" w:rsidRDefault="003D6558" w:rsidP="00A65A44">
            <w:pPr>
              <w:pStyle w:val="TextoLibreCast"/>
              <w:rPr>
                <w:rFonts w:ascii="Lato Light" w:hAnsi="Lato Light"/>
              </w:rPr>
            </w:pPr>
            <w:r w:rsidRPr="008218A9">
              <w:rPr>
                <w:rFonts w:ascii="Lato Light" w:hAnsi="Lato Light"/>
              </w:rPr>
              <w:lastRenderedPageBreak/>
              <w:t xml:space="preserve">Por último, y teniendo en cuenta que en el ayuntamiento de </w:t>
            </w:r>
            <w:r>
              <w:rPr>
                <w:rFonts w:ascii="Lato Light" w:hAnsi="Lato Light"/>
              </w:rPr>
              <w:t>XXXXXXXX</w:t>
            </w:r>
            <w:r w:rsidRPr="008218A9">
              <w:rPr>
                <w:rFonts w:ascii="Lato Light" w:hAnsi="Lato Light"/>
              </w:rPr>
              <w:t xml:space="preserve"> se ha iniciado el procedimiento de reintegro de aportaciones a los grupos políticos por decreto de alcaldía, en virtud </w:t>
            </w:r>
            <w:r w:rsidRPr="008218A9">
              <w:rPr>
                <w:rFonts w:ascii="Lato Light" w:hAnsi="Lato Light"/>
              </w:rPr>
              <w:lastRenderedPageBreak/>
              <w:t>del artículo 52.3 de la Ley 39/2015, de 1 de octubre, del Procedimiento Administrativo Común de las Administraciones Públicas (LPAC) sería necesario la remisión al pleno del expediente  para que en su caso convalidara la iniciación del procedimiento de reintegro, ya que si bien el pleno no es un órgano de superioridad jerárquica respecto a alcaldía parece claro que no nos encontramos ante un supuesto de nulidad de pleno derecho del artículo 47.1.b) de la LPAC ya que como determina la jurisprudencia, lo decisivo y determinante para que se dé ese supuesto es que la incompetencia sea manifiesta, esto es “que se manifieste de modo ostensible, patente, claro e incontrovertido” (Sentencia del Tribunal Supremo de 18 de mayo de 2001). Así, se ha reiterado en la jurisprudencia que el adjetivo “manifiesta” exige que la incompetencia sea notoria y clara y que vaya acompañada de un nivel de gravedad proporcional a los efectos que comporta su declaración, lo que no parece que concurra en el presente expediente.</w:t>
            </w:r>
          </w:p>
        </w:tc>
      </w:tr>
    </w:tbl>
    <w:p w14:paraId="3EDF766B" w14:textId="77777777" w:rsidR="00DF51C6" w:rsidRPr="002D73F5" w:rsidRDefault="00DF51C6" w:rsidP="002D73F5"/>
    <w:sectPr w:rsidR="00DF51C6" w:rsidRPr="002D73F5" w:rsidSect="0046355A">
      <w:headerReference w:type="even" r:id="rId7"/>
      <w:headerReference w:type="default" r:id="rId8"/>
      <w:footerReference w:type="even" r:id="rId9"/>
      <w:footerReference w:type="default" r:id="rId10"/>
      <w:headerReference w:type="first" r:id="rId11"/>
      <w:footerReference w:type="first" r:id="rId12"/>
      <w:pgSz w:w="11906" w:h="16838" w:code="9"/>
      <w:pgMar w:top="3459" w:right="1418" w:bottom="1418" w:left="1418"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0254B" w14:textId="77777777" w:rsidR="003D6558" w:rsidRDefault="003D6558" w:rsidP="00BC403B">
      <w:r>
        <w:separator/>
      </w:r>
    </w:p>
  </w:endnote>
  <w:endnote w:type="continuationSeparator" w:id="0">
    <w:p w14:paraId="2E15296A" w14:textId="77777777" w:rsidR="003D6558" w:rsidRDefault="003D6558" w:rsidP="00BC4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Light">
    <w:altName w:val="Lato Light"/>
    <w:panose1 w:val="020F0302020204030203"/>
    <w:charset w:val="00"/>
    <w:family w:val="swiss"/>
    <w:pitch w:val="variable"/>
    <w:sig w:usb0="A00002AF" w:usb1="50006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EDAA5" w14:textId="77777777" w:rsidR="00E62519" w:rsidRDefault="00E6251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1805945"/>
      <w:docPartObj>
        <w:docPartGallery w:val="Page Numbers (Bottom of Page)"/>
        <w:docPartUnique/>
      </w:docPartObj>
    </w:sdtPr>
    <w:sdtEndPr>
      <w:rPr>
        <w:rStyle w:val="PiedepginaCar"/>
        <w:rFonts w:ascii="Lato Light" w:hAnsi="Lato Light"/>
        <w:i w:val="0"/>
        <w:sz w:val="19"/>
      </w:rPr>
    </w:sdtEndPr>
    <w:sdtContent>
      <w:p w14:paraId="4876F08A" w14:textId="77777777" w:rsidR="00215B64" w:rsidRPr="00DA717E" w:rsidRDefault="00215B64" w:rsidP="00BC403B">
        <w:pPr>
          <w:pStyle w:val="Encabezado"/>
          <w:rPr>
            <w:rStyle w:val="PiedepginaCar"/>
            <w:i/>
          </w:rPr>
        </w:pPr>
        <w:r w:rsidRPr="00DA717E">
          <w:rPr>
            <w:rStyle w:val="PiedepginaCar"/>
            <w:i/>
          </w:rPr>
          <w:fldChar w:fldCharType="begin"/>
        </w:r>
        <w:r w:rsidRPr="00DA717E">
          <w:rPr>
            <w:rStyle w:val="PiedepginaCar"/>
            <w:i/>
          </w:rPr>
          <w:instrText>PAGE   \* MERGEFORMAT</w:instrText>
        </w:r>
        <w:r w:rsidRPr="00DA717E">
          <w:rPr>
            <w:rStyle w:val="PiedepginaCar"/>
            <w:i/>
          </w:rPr>
          <w:fldChar w:fldCharType="separate"/>
        </w:r>
        <w:r w:rsidR="009B6426">
          <w:rPr>
            <w:rStyle w:val="PiedepginaCar"/>
            <w:i/>
          </w:rPr>
          <w:t>2</w:t>
        </w:r>
        <w:r w:rsidRPr="00DA717E">
          <w:rPr>
            <w:rStyle w:val="PiedepginaCar"/>
            <w: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1281" w14:textId="77777777" w:rsidR="00E62519" w:rsidRDefault="00E6251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12DD5" w14:textId="77777777" w:rsidR="003D6558" w:rsidRDefault="003D6558" w:rsidP="00BC403B">
      <w:r>
        <w:separator/>
      </w:r>
    </w:p>
  </w:footnote>
  <w:footnote w:type="continuationSeparator" w:id="0">
    <w:p w14:paraId="4DBB4EC4" w14:textId="77777777" w:rsidR="003D6558" w:rsidRDefault="003D6558" w:rsidP="00BC4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CFE27" w14:textId="77777777" w:rsidR="00E62519" w:rsidRDefault="00E6251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264F5" w14:textId="77777777" w:rsidR="00A80B69" w:rsidRDefault="00DF51C6" w:rsidP="00BC403B">
    <w:pPr>
      <w:pStyle w:val="Encabezado"/>
    </w:pPr>
    <w:r>
      <w:drawing>
        <wp:inline distT="0" distB="0" distL="0" distR="0" wp14:anchorId="2862B05D" wp14:editId="6D14A95D">
          <wp:extent cx="313200" cy="500400"/>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_ROBLE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3200" cy="5004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F741" w14:textId="77777777" w:rsidR="00AE23E1" w:rsidRDefault="00E62519" w:rsidP="00AE23E1">
    <w:pPr>
      <w:pStyle w:val="Encabezado"/>
    </w:pPr>
    <w:r>
      <w:drawing>
        <wp:inline distT="0" distB="0" distL="0" distR="0" wp14:anchorId="4CB23CDC" wp14:editId="6CD5A94C">
          <wp:extent cx="1605600" cy="813600"/>
          <wp:effectExtent l="0" t="0" r="0" b="571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FA_20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5600" cy="8136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58"/>
    <w:rsid w:val="00006666"/>
    <w:rsid w:val="00050ADC"/>
    <w:rsid w:val="00076900"/>
    <w:rsid w:val="000854E8"/>
    <w:rsid w:val="00123C34"/>
    <w:rsid w:val="001453D2"/>
    <w:rsid w:val="00197175"/>
    <w:rsid w:val="00215B64"/>
    <w:rsid w:val="00234B54"/>
    <w:rsid w:val="002602CF"/>
    <w:rsid w:val="002747CD"/>
    <w:rsid w:val="002D73F5"/>
    <w:rsid w:val="003D6558"/>
    <w:rsid w:val="003F14E4"/>
    <w:rsid w:val="00431B06"/>
    <w:rsid w:val="0046355A"/>
    <w:rsid w:val="00465CF9"/>
    <w:rsid w:val="004935E0"/>
    <w:rsid w:val="00495CDD"/>
    <w:rsid w:val="004D629E"/>
    <w:rsid w:val="00545EA1"/>
    <w:rsid w:val="00570250"/>
    <w:rsid w:val="005C608B"/>
    <w:rsid w:val="005E1A35"/>
    <w:rsid w:val="005F50AE"/>
    <w:rsid w:val="00616362"/>
    <w:rsid w:val="006B59FC"/>
    <w:rsid w:val="007A6547"/>
    <w:rsid w:val="007A78D6"/>
    <w:rsid w:val="007D537A"/>
    <w:rsid w:val="007F34AE"/>
    <w:rsid w:val="009B6426"/>
    <w:rsid w:val="009F7CEE"/>
    <w:rsid w:val="00A346A1"/>
    <w:rsid w:val="00A44730"/>
    <w:rsid w:val="00A80B69"/>
    <w:rsid w:val="00A80CAA"/>
    <w:rsid w:val="00A83BA5"/>
    <w:rsid w:val="00AD1855"/>
    <w:rsid w:val="00AE23E1"/>
    <w:rsid w:val="00B430CB"/>
    <w:rsid w:val="00BA1910"/>
    <w:rsid w:val="00BC403B"/>
    <w:rsid w:val="00C0711F"/>
    <w:rsid w:val="00C15B35"/>
    <w:rsid w:val="00CB2925"/>
    <w:rsid w:val="00D2159F"/>
    <w:rsid w:val="00DA4AB9"/>
    <w:rsid w:val="00DA717E"/>
    <w:rsid w:val="00DB0934"/>
    <w:rsid w:val="00DE322C"/>
    <w:rsid w:val="00DF51C6"/>
    <w:rsid w:val="00E62519"/>
    <w:rsid w:val="00F161BD"/>
    <w:rsid w:val="00F568D3"/>
    <w:rsid w:val="00F70D0C"/>
    <w:rsid w:val="00FA6EAC"/>
    <w:rsid w:val="00FE3F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F1524"/>
  <w15:chartTrackingRefBased/>
  <w15:docId w15:val="{14A473F2-FEEC-4C41-BEC0-1C92493D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Light" w:eastAsiaTheme="minorHAnsi" w:hAnsi="Lato Light" w:cs="Times New Roman"/>
        <w:color w:val="C4BC96" w:themeColor="background2" w:themeShade="BF"/>
        <w:kern w:val="2"/>
        <w:sz w:val="22"/>
        <w:szCs w:val="22"/>
        <w:u w:val="single" w:color="403152" w:themeColor="accent4" w:themeShade="80"/>
        <w:lang w:val="es-E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558"/>
    <w:pPr>
      <w:spacing w:after="0"/>
    </w:pPr>
    <w:rPr>
      <w:rFonts w:ascii="Calibri" w:eastAsia="Calibri" w:hAnsi="Calibri"/>
      <w:color w:val="auto"/>
      <w:kern w:val="0"/>
      <w:u w:val="none"/>
      <w14:ligatures w14:val="none"/>
    </w:rPr>
  </w:style>
  <w:style w:type="paragraph" w:styleId="Ttulo1">
    <w:name w:val="heading 1"/>
    <w:basedOn w:val="Normal"/>
    <w:next w:val="Normal"/>
    <w:link w:val="Ttulo1Car"/>
    <w:uiPriority w:val="9"/>
    <w:qFormat/>
    <w:rsid w:val="00123C34"/>
    <w:pPr>
      <w:keepNext/>
      <w:keepLines/>
      <w:spacing w:before="480"/>
      <w:outlineLvl w:val="0"/>
    </w:pPr>
    <w:rPr>
      <w:rFonts w:eastAsiaTheme="majorEastAsia" w:cstheme="majorBidi"/>
      <w:b/>
      <w:bCs/>
      <w:spacing w:val="24"/>
      <w:sz w:val="28"/>
      <w:szCs w:val="28"/>
    </w:rPr>
  </w:style>
  <w:style w:type="paragraph" w:styleId="Ttulo2">
    <w:name w:val="heading 2"/>
    <w:basedOn w:val="Normal"/>
    <w:next w:val="Normal"/>
    <w:link w:val="Ttulo2Car"/>
    <w:uiPriority w:val="9"/>
    <w:unhideWhenUsed/>
    <w:qFormat/>
    <w:rsid w:val="009B6426"/>
    <w:pPr>
      <w:keepNext/>
      <w:keepLines/>
      <w:spacing w:before="200"/>
      <w:outlineLvl w:val="1"/>
    </w:pPr>
    <w:rPr>
      <w:rFonts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3D6558"/>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3D6558"/>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Ttulo5">
    <w:name w:val="heading 5"/>
    <w:basedOn w:val="Normal"/>
    <w:next w:val="Normal"/>
    <w:link w:val="Ttulo5Car"/>
    <w:uiPriority w:val="9"/>
    <w:semiHidden/>
    <w:unhideWhenUsed/>
    <w:qFormat/>
    <w:rsid w:val="003D6558"/>
    <w:pPr>
      <w:keepNext/>
      <w:keepLines/>
      <w:spacing w:before="80" w:after="40"/>
      <w:outlineLvl w:val="4"/>
    </w:pPr>
    <w:rPr>
      <w:rFonts w:asciiTheme="minorHAnsi" w:eastAsiaTheme="majorEastAsia" w:hAnsiTheme="minorHAnsi" w:cstheme="majorBidi"/>
      <w:color w:val="365F91" w:themeColor="accent1" w:themeShade="BF"/>
    </w:rPr>
  </w:style>
  <w:style w:type="paragraph" w:styleId="Ttulo6">
    <w:name w:val="heading 6"/>
    <w:basedOn w:val="Normal"/>
    <w:next w:val="Normal"/>
    <w:link w:val="Ttulo6Car"/>
    <w:uiPriority w:val="9"/>
    <w:semiHidden/>
    <w:unhideWhenUsed/>
    <w:qFormat/>
    <w:rsid w:val="003D6558"/>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3D6558"/>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3D6558"/>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3D6558"/>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D1855"/>
    <w:pPr>
      <w:tabs>
        <w:tab w:val="center" w:pos="4252"/>
        <w:tab w:val="right" w:pos="8504"/>
      </w:tabs>
      <w:spacing w:line="240" w:lineRule="auto"/>
      <w:ind w:right="-709"/>
      <w:jc w:val="right"/>
    </w:pPr>
    <w:rPr>
      <w:i/>
      <w:noProof/>
      <w:szCs w:val="19"/>
      <w:lang w:eastAsia="es-ES"/>
    </w:rPr>
  </w:style>
  <w:style w:type="character" w:customStyle="1" w:styleId="EncabezadoCar">
    <w:name w:val="Encabezado Car"/>
    <w:basedOn w:val="Fuentedeprrafopredeter"/>
    <w:link w:val="Encabezado"/>
    <w:uiPriority w:val="99"/>
    <w:rsid w:val="00AD1855"/>
    <w:rPr>
      <w:rFonts w:ascii="Lato Light" w:hAnsi="Lato Light"/>
      <w:i/>
      <w:noProof/>
      <w:sz w:val="19"/>
      <w:szCs w:val="19"/>
      <w:lang w:eastAsia="es-ES"/>
    </w:rPr>
  </w:style>
  <w:style w:type="paragraph" w:styleId="Piedepgina">
    <w:name w:val="footer"/>
    <w:basedOn w:val="Encabezado"/>
    <w:link w:val="PiedepginaCar"/>
    <w:uiPriority w:val="99"/>
    <w:unhideWhenUsed/>
    <w:rsid w:val="00DA717E"/>
  </w:style>
  <w:style w:type="character" w:customStyle="1" w:styleId="PiedepginaCar">
    <w:name w:val="Pie de página Car"/>
    <w:basedOn w:val="Fuentedeprrafopredeter"/>
    <w:link w:val="Piedepgina"/>
    <w:uiPriority w:val="99"/>
    <w:rsid w:val="00DA717E"/>
    <w:rPr>
      <w:rFonts w:ascii="Lato Light" w:hAnsi="Lato Light"/>
      <w:i/>
      <w:noProof/>
      <w:sz w:val="19"/>
      <w:szCs w:val="19"/>
      <w:lang w:eastAsia="es-ES"/>
    </w:rPr>
  </w:style>
  <w:style w:type="paragraph" w:styleId="Textodeglobo">
    <w:name w:val="Balloon Text"/>
    <w:basedOn w:val="Normal"/>
    <w:link w:val="TextodegloboCar"/>
    <w:uiPriority w:val="99"/>
    <w:semiHidden/>
    <w:unhideWhenUsed/>
    <w:rsid w:val="00A80B69"/>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0B69"/>
    <w:rPr>
      <w:rFonts w:ascii="Tahoma" w:hAnsi="Tahoma" w:cs="Tahoma"/>
      <w:sz w:val="16"/>
      <w:szCs w:val="16"/>
    </w:rPr>
  </w:style>
  <w:style w:type="character" w:customStyle="1" w:styleId="Ttulo1Car">
    <w:name w:val="Título 1 Car"/>
    <w:basedOn w:val="Fuentedeprrafopredeter"/>
    <w:link w:val="Ttulo1"/>
    <w:uiPriority w:val="9"/>
    <w:rsid w:val="00123C34"/>
    <w:rPr>
      <w:rFonts w:eastAsiaTheme="majorEastAsia" w:cstheme="majorBidi"/>
      <w:b/>
      <w:bCs/>
      <w:color w:val="auto"/>
      <w:spacing w:val="24"/>
      <w:sz w:val="28"/>
      <w:szCs w:val="28"/>
    </w:rPr>
  </w:style>
  <w:style w:type="character" w:customStyle="1" w:styleId="Ttulo2Car">
    <w:name w:val="Título 2 Car"/>
    <w:basedOn w:val="Fuentedeprrafopredeter"/>
    <w:link w:val="Ttulo2"/>
    <w:uiPriority w:val="9"/>
    <w:rsid w:val="009B6426"/>
    <w:rPr>
      <w:rFonts w:ascii="Lato Light" w:eastAsiaTheme="majorEastAsia" w:hAnsi="Lato Light" w:cstheme="majorBidi"/>
      <w:b/>
      <w:bCs/>
      <w:color w:val="4F81BD" w:themeColor="accent1"/>
      <w:sz w:val="26"/>
      <w:szCs w:val="26"/>
      <w:lang w:val="en-US"/>
    </w:rPr>
  </w:style>
  <w:style w:type="paragraph" w:styleId="Ttulo">
    <w:name w:val="Title"/>
    <w:basedOn w:val="Normal"/>
    <w:next w:val="Normal"/>
    <w:link w:val="TtuloCar"/>
    <w:uiPriority w:val="10"/>
    <w:qFormat/>
    <w:rsid w:val="009B6426"/>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9B6426"/>
    <w:rPr>
      <w:rFonts w:ascii="Lato Light" w:eastAsiaTheme="majorEastAsia" w:hAnsi="Lato Light"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5F50AE"/>
    <w:pPr>
      <w:numPr>
        <w:ilvl w:val="1"/>
      </w:numPr>
    </w:pPr>
    <w:rPr>
      <w:rFonts w:eastAsiaTheme="majorEastAsia"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5F50AE"/>
    <w:rPr>
      <w:rFonts w:ascii="Lato Light" w:eastAsiaTheme="majorEastAsia" w:hAnsi="Lato Light" w:cstheme="majorBidi"/>
      <w:i/>
      <w:iCs/>
      <w:color w:val="4F81BD" w:themeColor="accent1"/>
      <w:spacing w:val="15"/>
      <w:sz w:val="24"/>
      <w:szCs w:val="24"/>
      <w:lang w:val="en-US"/>
    </w:rPr>
  </w:style>
  <w:style w:type="paragraph" w:styleId="Sinespaciado">
    <w:name w:val="No Spacing"/>
    <w:uiPriority w:val="1"/>
    <w:qFormat/>
    <w:rsid w:val="005F50AE"/>
    <w:pPr>
      <w:spacing w:after="0" w:line="240" w:lineRule="auto"/>
      <w:jc w:val="both"/>
    </w:pPr>
    <w:rPr>
      <w:sz w:val="19"/>
      <w:lang w:val="en-US"/>
    </w:rPr>
  </w:style>
  <w:style w:type="character" w:styleId="Ttulodellibro">
    <w:name w:val="Book Title"/>
    <w:basedOn w:val="Fuentedeprrafopredeter"/>
    <w:uiPriority w:val="33"/>
    <w:qFormat/>
    <w:rsid w:val="002D73F5"/>
    <w:rPr>
      <w:rFonts w:ascii="Lato Light" w:hAnsi="Lato Light"/>
      <w:b/>
      <w:bCs/>
      <w:smallCaps/>
      <w:spacing w:val="5"/>
    </w:rPr>
  </w:style>
  <w:style w:type="character" w:styleId="Referenciaintensa">
    <w:name w:val="Intense Reference"/>
    <w:basedOn w:val="Fuentedeprrafopredeter"/>
    <w:uiPriority w:val="32"/>
    <w:qFormat/>
    <w:rsid w:val="002D73F5"/>
    <w:rPr>
      <w:rFonts w:ascii="Lato Light" w:hAnsi="Lato Light"/>
      <w:b/>
      <w:bCs/>
      <w:smallCaps/>
      <w:color w:val="C0504D" w:themeColor="accent2"/>
      <w:spacing w:val="5"/>
      <w:u w:val="single"/>
    </w:rPr>
  </w:style>
  <w:style w:type="paragraph" w:styleId="Citadestacada">
    <w:name w:val="Intense Quote"/>
    <w:basedOn w:val="Normal"/>
    <w:next w:val="Normal"/>
    <w:link w:val="CitadestacadaCar"/>
    <w:uiPriority w:val="30"/>
    <w:qFormat/>
    <w:rsid w:val="002D73F5"/>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2D73F5"/>
    <w:rPr>
      <w:rFonts w:ascii="Lato Light" w:hAnsi="Lato Light"/>
      <w:b/>
      <w:bCs/>
      <w:i/>
      <w:iCs/>
      <w:color w:val="4F81BD" w:themeColor="accent1"/>
      <w:sz w:val="19"/>
      <w:lang w:val="en-US"/>
    </w:rPr>
  </w:style>
  <w:style w:type="character" w:styleId="nfasisintenso">
    <w:name w:val="Intense Emphasis"/>
    <w:basedOn w:val="Fuentedeprrafopredeter"/>
    <w:uiPriority w:val="21"/>
    <w:qFormat/>
    <w:rsid w:val="002D73F5"/>
    <w:rPr>
      <w:b/>
      <w:bCs/>
      <w:i/>
      <w:iCs/>
      <w:color w:val="4F81BD" w:themeColor="accent1"/>
    </w:rPr>
  </w:style>
  <w:style w:type="character" w:styleId="Textoennegrita">
    <w:name w:val="Strong"/>
    <w:basedOn w:val="Fuentedeprrafopredeter"/>
    <w:uiPriority w:val="22"/>
    <w:qFormat/>
    <w:rsid w:val="002D73F5"/>
    <w:rPr>
      <w:b/>
      <w:bCs/>
    </w:rPr>
  </w:style>
  <w:style w:type="paragraph" w:styleId="Cita">
    <w:name w:val="Quote"/>
    <w:basedOn w:val="Normal"/>
    <w:next w:val="Normal"/>
    <w:link w:val="CitaCar"/>
    <w:uiPriority w:val="29"/>
    <w:qFormat/>
    <w:rsid w:val="002D73F5"/>
    <w:rPr>
      <w:i/>
      <w:iCs/>
      <w:color w:val="000000" w:themeColor="text1"/>
    </w:rPr>
  </w:style>
  <w:style w:type="character" w:customStyle="1" w:styleId="CitaCar">
    <w:name w:val="Cita Car"/>
    <w:basedOn w:val="Fuentedeprrafopredeter"/>
    <w:link w:val="Cita"/>
    <w:uiPriority w:val="29"/>
    <w:rsid w:val="002D73F5"/>
    <w:rPr>
      <w:rFonts w:ascii="Lato Light" w:hAnsi="Lato Light"/>
      <w:i/>
      <w:iCs/>
      <w:color w:val="000000" w:themeColor="text1"/>
      <w:sz w:val="19"/>
      <w:lang w:val="en-US"/>
    </w:rPr>
  </w:style>
  <w:style w:type="character" w:styleId="Referenciasutil">
    <w:name w:val="Subtle Reference"/>
    <w:basedOn w:val="Fuentedeprrafopredeter"/>
    <w:uiPriority w:val="31"/>
    <w:qFormat/>
    <w:rsid w:val="002D73F5"/>
    <w:rPr>
      <w:smallCaps/>
      <w:color w:val="C0504D" w:themeColor="accent2"/>
      <w:u w:val="single"/>
    </w:rPr>
  </w:style>
  <w:style w:type="paragraph" w:styleId="Prrafodelista">
    <w:name w:val="List Paragraph"/>
    <w:basedOn w:val="Normal"/>
    <w:uiPriority w:val="34"/>
    <w:qFormat/>
    <w:rsid w:val="002D73F5"/>
    <w:pPr>
      <w:ind w:left="720"/>
      <w:contextualSpacing/>
    </w:pPr>
  </w:style>
  <w:style w:type="character" w:customStyle="1" w:styleId="Ttulo3Car">
    <w:name w:val="Título 3 Car"/>
    <w:basedOn w:val="Fuentedeprrafopredeter"/>
    <w:link w:val="Ttulo3"/>
    <w:uiPriority w:val="9"/>
    <w:semiHidden/>
    <w:rsid w:val="003D6558"/>
    <w:rPr>
      <w:rFonts w:asciiTheme="minorHAnsi" w:eastAsiaTheme="majorEastAsia" w:hAnsiTheme="minorHAnsi" w:cstheme="majorBidi"/>
      <w:color w:val="365F91" w:themeColor="accent1" w:themeShade="BF"/>
      <w:sz w:val="28"/>
      <w:szCs w:val="28"/>
      <w:u w:val="none"/>
    </w:rPr>
  </w:style>
  <w:style w:type="character" w:customStyle="1" w:styleId="Ttulo4Car">
    <w:name w:val="Título 4 Car"/>
    <w:basedOn w:val="Fuentedeprrafopredeter"/>
    <w:link w:val="Ttulo4"/>
    <w:uiPriority w:val="9"/>
    <w:semiHidden/>
    <w:rsid w:val="003D6558"/>
    <w:rPr>
      <w:rFonts w:asciiTheme="minorHAnsi" w:eastAsiaTheme="majorEastAsia" w:hAnsiTheme="minorHAnsi" w:cstheme="majorBidi"/>
      <w:i/>
      <w:iCs/>
      <w:color w:val="365F91" w:themeColor="accent1" w:themeShade="BF"/>
      <w:u w:val="none"/>
    </w:rPr>
  </w:style>
  <w:style w:type="character" w:customStyle="1" w:styleId="Ttulo5Car">
    <w:name w:val="Título 5 Car"/>
    <w:basedOn w:val="Fuentedeprrafopredeter"/>
    <w:link w:val="Ttulo5"/>
    <w:uiPriority w:val="9"/>
    <w:semiHidden/>
    <w:rsid w:val="003D6558"/>
    <w:rPr>
      <w:rFonts w:asciiTheme="minorHAnsi" w:eastAsiaTheme="majorEastAsia" w:hAnsiTheme="minorHAnsi" w:cstheme="majorBidi"/>
      <w:color w:val="365F91" w:themeColor="accent1" w:themeShade="BF"/>
      <w:u w:val="none"/>
    </w:rPr>
  </w:style>
  <w:style w:type="character" w:customStyle="1" w:styleId="Ttulo6Car">
    <w:name w:val="Título 6 Car"/>
    <w:basedOn w:val="Fuentedeprrafopredeter"/>
    <w:link w:val="Ttulo6"/>
    <w:uiPriority w:val="9"/>
    <w:semiHidden/>
    <w:rsid w:val="003D6558"/>
    <w:rPr>
      <w:rFonts w:asciiTheme="minorHAnsi" w:eastAsiaTheme="majorEastAsia" w:hAnsiTheme="minorHAnsi" w:cstheme="majorBidi"/>
      <w:i/>
      <w:iCs/>
      <w:color w:val="595959" w:themeColor="text1" w:themeTint="A6"/>
      <w:u w:val="none"/>
    </w:rPr>
  </w:style>
  <w:style w:type="character" w:customStyle="1" w:styleId="Ttulo7Car">
    <w:name w:val="Título 7 Car"/>
    <w:basedOn w:val="Fuentedeprrafopredeter"/>
    <w:link w:val="Ttulo7"/>
    <w:uiPriority w:val="9"/>
    <w:semiHidden/>
    <w:rsid w:val="003D6558"/>
    <w:rPr>
      <w:rFonts w:asciiTheme="minorHAnsi" w:eastAsiaTheme="majorEastAsia" w:hAnsiTheme="minorHAnsi" w:cstheme="majorBidi"/>
      <w:color w:val="595959" w:themeColor="text1" w:themeTint="A6"/>
      <w:u w:val="none"/>
    </w:rPr>
  </w:style>
  <w:style w:type="character" w:customStyle="1" w:styleId="Ttulo8Car">
    <w:name w:val="Título 8 Car"/>
    <w:basedOn w:val="Fuentedeprrafopredeter"/>
    <w:link w:val="Ttulo8"/>
    <w:uiPriority w:val="9"/>
    <w:semiHidden/>
    <w:rsid w:val="003D6558"/>
    <w:rPr>
      <w:rFonts w:asciiTheme="minorHAnsi" w:eastAsiaTheme="majorEastAsia" w:hAnsiTheme="minorHAnsi" w:cstheme="majorBidi"/>
      <w:i/>
      <w:iCs/>
      <w:color w:val="272727" w:themeColor="text1" w:themeTint="D8"/>
      <w:u w:val="none"/>
    </w:rPr>
  </w:style>
  <w:style w:type="character" w:customStyle="1" w:styleId="Ttulo9Car">
    <w:name w:val="Título 9 Car"/>
    <w:basedOn w:val="Fuentedeprrafopredeter"/>
    <w:link w:val="Ttulo9"/>
    <w:uiPriority w:val="9"/>
    <w:semiHidden/>
    <w:rsid w:val="003D6558"/>
    <w:rPr>
      <w:rFonts w:asciiTheme="minorHAnsi" w:eastAsiaTheme="majorEastAsia" w:hAnsiTheme="minorHAnsi" w:cstheme="majorBidi"/>
      <w:color w:val="272727" w:themeColor="text1" w:themeTint="D8"/>
      <w:u w:val="none"/>
    </w:rPr>
  </w:style>
  <w:style w:type="paragraph" w:customStyle="1" w:styleId="Previo">
    <w:name w:val="Previo"/>
    <w:basedOn w:val="Normal"/>
    <w:next w:val="Normal"/>
    <w:rsid w:val="003D6558"/>
    <w:rPr>
      <w:rFonts w:ascii="Arial" w:hAnsi="Arial"/>
      <w:sz w:val="8"/>
    </w:rPr>
  </w:style>
  <w:style w:type="paragraph" w:customStyle="1" w:styleId="Identificacindebloque">
    <w:name w:val="Identificación de bloque"/>
    <w:basedOn w:val="Normal"/>
    <w:rsid w:val="003D6558"/>
    <w:rPr>
      <w:rFonts w:ascii="Arial" w:hAnsi="Arial"/>
      <w:noProof/>
      <w:vanish/>
      <w:color w:val="993366"/>
      <w:sz w:val="20"/>
      <w:szCs w:val="20"/>
    </w:rPr>
  </w:style>
  <w:style w:type="paragraph" w:customStyle="1" w:styleId="TituloBloque">
    <w:name w:val="Titulo Bloque"/>
    <w:basedOn w:val="Normal"/>
    <w:rsid w:val="003D6558"/>
    <w:pPr>
      <w:spacing w:before="20" w:after="20"/>
    </w:pPr>
    <w:rPr>
      <w:rFonts w:ascii="Arial" w:hAnsi="Arial" w:cs="Arial"/>
      <w:b/>
      <w:bCs/>
      <w:i/>
      <w:iCs/>
      <w:noProof/>
      <w:sz w:val="20"/>
      <w:lang w:val="es-ES_tradnl"/>
    </w:rPr>
  </w:style>
  <w:style w:type="paragraph" w:customStyle="1" w:styleId="EtiquetaEus">
    <w:name w:val="Etiqueta Eus"/>
    <w:basedOn w:val="Normal"/>
    <w:rsid w:val="003D6558"/>
    <w:rPr>
      <w:rFonts w:ascii="Arial" w:hAnsi="Arial"/>
      <w:b/>
      <w:i/>
      <w:sz w:val="16"/>
    </w:rPr>
  </w:style>
  <w:style w:type="paragraph" w:customStyle="1" w:styleId="EtiquetaCas">
    <w:name w:val="Etiqueta Cas"/>
    <w:basedOn w:val="EtiquetaEus"/>
    <w:rsid w:val="003D6558"/>
    <w:rPr>
      <w:rFonts w:cs="Arial"/>
      <w:b w:val="0"/>
      <w:iCs/>
      <w:noProof/>
      <w:szCs w:val="16"/>
    </w:rPr>
  </w:style>
  <w:style w:type="paragraph" w:customStyle="1" w:styleId="Variable">
    <w:name w:val="Variable"/>
    <w:basedOn w:val="Normal"/>
    <w:next w:val="Normal"/>
    <w:rsid w:val="003D6558"/>
    <w:rPr>
      <w:rFonts w:ascii="Arial" w:hAnsi="Arial"/>
      <w:b/>
      <w:caps/>
      <w:sz w:val="18"/>
    </w:rPr>
  </w:style>
  <w:style w:type="paragraph" w:customStyle="1" w:styleId="VariableEus">
    <w:name w:val="Variable Eus"/>
    <w:basedOn w:val="EtiquetaEus"/>
    <w:next w:val="Normal"/>
    <w:link w:val="VariableEusCar"/>
    <w:rsid w:val="003D6558"/>
    <w:rPr>
      <w:caps/>
    </w:rPr>
  </w:style>
  <w:style w:type="character" w:customStyle="1" w:styleId="VariableEusCar">
    <w:name w:val="Variable Eus Car"/>
    <w:link w:val="VariableEus"/>
    <w:rsid w:val="003D6558"/>
    <w:rPr>
      <w:rFonts w:ascii="Arial" w:eastAsia="Calibri" w:hAnsi="Arial"/>
      <w:b/>
      <w:i/>
      <w:caps/>
      <w:color w:val="auto"/>
      <w:kern w:val="0"/>
      <w:sz w:val="16"/>
      <w:u w:val="none"/>
      <w14:ligatures w14:val="none"/>
    </w:rPr>
  </w:style>
  <w:style w:type="paragraph" w:customStyle="1" w:styleId="VariableCas">
    <w:name w:val="Variable Cas"/>
    <w:basedOn w:val="VariableEus"/>
    <w:link w:val="VariableCasCar"/>
    <w:rsid w:val="003D6558"/>
    <w:rPr>
      <w:b w:val="0"/>
    </w:rPr>
  </w:style>
  <w:style w:type="character" w:customStyle="1" w:styleId="VariableCasCar">
    <w:name w:val="Variable Cas Car"/>
    <w:link w:val="VariableCas"/>
    <w:rsid w:val="003D6558"/>
    <w:rPr>
      <w:rFonts w:ascii="Arial" w:eastAsia="Calibri" w:hAnsi="Arial"/>
      <w:i/>
      <w:caps/>
      <w:color w:val="auto"/>
      <w:kern w:val="0"/>
      <w:sz w:val="16"/>
      <w:u w:val="none"/>
      <w14:ligatures w14:val="none"/>
    </w:rPr>
  </w:style>
  <w:style w:type="paragraph" w:customStyle="1" w:styleId="SALTO">
    <w:name w:val="SALTO"/>
    <w:basedOn w:val="Normal"/>
    <w:next w:val="Normal"/>
    <w:rsid w:val="003D6558"/>
    <w:rPr>
      <w:rFonts w:ascii="Arial" w:hAnsi="Arial"/>
      <w:sz w:val="2"/>
    </w:rPr>
  </w:style>
  <w:style w:type="paragraph" w:customStyle="1" w:styleId="TextoLibreEus">
    <w:name w:val="Texto Libre Eus"/>
    <w:qFormat/>
    <w:rsid w:val="003D6558"/>
    <w:pPr>
      <w:spacing w:after="0" w:line="360" w:lineRule="auto"/>
      <w:jc w:val="both"/>
    </w:pPr>
    <w:rPr>
      <w:rFonts w:ascii="Arial" w:eastAsia="Times New Roman" w:hAnsi="Arial"/>
      <w:color w:val="auto"/>
      <w:kern w:val="0"/>
      <w:sz w:val="20"/>
      <w:szCs w:val="8"/>
      <w:u w:val="none"/>
      <w:lang w:eastAsia="es-ES"/>
      <w14:ligatures w14:val="none"/>
    </w:rPr>
  </w:style>
  <w:style w:type="paragraph" w:customStyle="1" w:styleId="TextoLibreCast">
    <w:name w:val="Texto Libre Cast"/>
    <w:qFormat/>
    <w:rsid w:val="003D6558"/>
    <w:pPr>
      <w:spacing w:after="0" w:line="360" w:lineRule="auto"/>
      <w:ind w:left="289"/>
      <w:jc w:val="both"/>
    </w:pPr>
    <w:rPr>
      <w:rFonts w:ascii="Arial" w:eastAsia="Times New Roman" w:hAnsi="Arial"/>
      <w:color w:val="auto"/>
      <w:kern w:val="0"/>
      <w:sz w:val="20"/>
      <w:szCs w:val="8"/>
      <w:u w:val="none"/>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1" Target="header3.xml" Type="http://schemas.openxmlformats.org/officeDocument/2006/relationships/header"/><Relationship Id="rId12" Target="footer3.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header2.xml.rels><?xml version="1.0" encoding="UTF-8" standalone="yes"?><Relationships xmlns="http://schemas.openxmlformats.org/package/2006/relationships"><Relationship Id="rId1" Target="media/image1.png" Type="http://schemas.openxmlformats.org/officeDocument/2006/relationships/image"/></Relationships>
</file>

<file path=word/_rels/header3.xml.rels><?xml version="1.0" encoding="UTF-8" standalone="yes"?><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2298CB81-DD1F-44E3-A98E-281CF2326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lastPrinted>2015-12-23T12:12:00Z</cp:lastPrinted>
  <cp:revision>1</cp:revision>
</cp:coreProperties>
</file>